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p>
    <w:p>
      <w:pPr>
        <w:jc w:val="center"/>
        <w:rPr>
          <w:b/>
          <w:sz w:val="44"/>
          <w:szCs w:val="44"/>
        </w:rPr>
      </w:pPr>
      <w:r>
        <w:rPr>
          <w:rFonts w:hint="eastAsia"/>
          <w:b/>
          <w:sz w:val="44"/>
          <w:szCs w:val="44"/>
        </w:rPr>
        <w:t>陕西省地方标准</w:t>
      </w:r>
    </w:p>
    <w:p>
      <w:pPr>
        <w:jc w:val="center"/>
        <w:rPr>
          <w:b/>
          <w:sz w:val="44"/>
          <w:szCs w:val="44"/>
        </w:rPr>
      </w:pPr>
      <w:r>
        <w:rPr>
          <w:rFonts w:hint="eastAsia"/>
          <w:b/>
          <w:sz w:val="44"/>
          <w:szCs w:val="44"/>
        </w:rPr>
        <w:t>《</w:t>
      </w:r>
      <w:r>
        <w:rPr>
          <w:rFonts w:hint="eastAsia"/>
          <w:b/>
          <w:sz w:val="44"/>
          <w:szCs w:val="44"/>
          <w:lang w:eastAsia="zh-CN"/>
        </w:rPr>
        <w:t>固定平台搬运车</w:t>
      </w:r>
      <w:r>
        <w:rPr>
          <w:rFonts w:hint="eastAsia"/>
          <w:b/>
          <w:sz w:val="44"/>
          <w:szCs w:val="44"/>
        </w:rPr>
        <w:t>检验规则》</w:t>
      </w:r>
    </w:p>
    <w:p>
      <w:pPr>
        <w:jc w:val="center"/>
        <w:rPr>
          <w:b/>
          <w:sz w:val="44"/>
          <w:szCs w:val="44"/>
        </w:rPr>
      </w:pPr>
      <w:r>
        <w:rPr>
          <w:b/>
          <w:sz w:val="44"/>
          <w:szCs w:val="44"/>
        </w:rPr>
        <w:t>编制说明</w:t>
      </w:r>
    </w:p>
    <w:p>
      <w:pPr>
        <w:jc w:val="center"/>
        <w:rPr>
          <w:sz w:val="36"/>
          <w:szCs w:val="36"/>
        </w:rPr>
      </w:pPr>
    </w:p>
    <w:p>
      <w:pPr>
        <w:jc w:val="center"/>
        <w:rPr>
          <w:sz w:val="36"/>
          <w:szCs w:val="36"/>
        </w:rPr>
      </w:pPr>
    </w:p>
    <w:p>
      <w:pPr>
        <w:jc w:val="center"/>
        <w:rPr>
          <w:sz w:val="36"/>
          <w:szCs w:val="36"/>
        </w:rPr>
      </w:pPr>
    </w:p>
    <w:p>
      <w:pPr>
        <w:jc w:val="center"/>
        <w:rPr>
          <w:b/>
          <w:bCs/>
          <w:kern w:val="0"/>
          <w:sz w:val="44"/>
          <w:szCs w:val="44"/>
        </w:rPr>
      </w:pPr>
    </w:p>
    <w:p>
      <w:pPr>
        <w:jc w:val="center"/>
        <w:rPr>
          <w:b/>
          <w:bCs/>
          <w:kern w:val="0"/>
          <w:sz w:val="44"/>
          <w:szCs w:val="44"/>
        </w:rPr>
      </w:pPr>
    </w:p>
    <w:p>
      <w:pPr>
        <w:jc w:val="center"/>
        <w:rPr>
          <w:b/>
          <w:bCs/>
          <w:kern w:val="0"/>
          <w:sz w:val="44"/>
          <w:szCs w:val="44"/>
        </w:rPr>
      </w:pPr>
    </w:p>
    <w:p>
      <w:pPr>
        <w:jc w:val="center"/>
        <w:rPr>
          <w:b/>
          <w:bCs/>
          <w:kern w:val="0"/>
          <w:sz w:val="44"/>
          <w:szCs w:val="44"/>
        </w:rPr>
      </w:pPr>
    </w:p>
    <w:p>
      <w:pPr>
        <w:jc w:val="center"/>
        <w:rPr>
          <w:b/>
          <w:bCs/>
          <w:kern w:val="0"/>
          <w:sz w:val="44"/>
          <w:szCs w:val="44"/>
        </w:rPr>
      </w:pPr>
    </w:p>
    <w:p>
      <w:pPr>
        <w:jc w:val="center"/>
        <w:rPr>
          <w:b/>
          <w:bCs/>
          <w:kern w:val="0"/>
          <w:sz w:val="44"/>
          <w:szCs w:val="44"/>
        </w:rPr>
      </w:pPr>
    </w:p>
    <w:p>
      <w:pPr>
        <w:jc w:val="center"/>
        <w:rPr>
          <w:b/>
          <w:bCs/>
          <w:kern w:val="0"/>
          <w:sz w:val="44"/>
          <w:szCs w:val="44"/>
        </w:rPr>
      </w:pPr>
    </w:p>
    <w:p>
      <w:pPr>
        <w:jc w:val="center"/>
        <w:rPr>
          <w:b/>
          <w:bCs/>
          <w:kern w:val="0"/>
          <w:sz w:val="44"/>
          <w:szCs w:val="44"/>
        </w:rPr>
      </w:pPr>
      <w:bookmarkStart w:id="32" w:name="_GoBack"/>
      <w:bookmarkEnd w:id="32"/>
    </w:p>
    <w:p>
      <w:pPr>
        <w:jc w:val="center"/>
        <w:rPr>
          <w:b/>
          <w:sz w:val="36"/>
          <w:szCs w:val="36"/>
        </w:rPr>
      </w:pPr>
    </w:p>
    <w:p>
      <w:pPr>
        <w:jc w:val="center"/>
        <w:rPr>
          <w:b/>
          <w:sz w:val="30"/>
          <w:szCs w:val="30"/>
        </w:rPr>
      </w:pPr>
      <w:r>
        <w:rPr>
          <w:rFonts w:hint="eastAsia"/>
          <w:b/>
          <w:sz w:val="30"/>
          <w:szCs w:val="30"/>
        </w:rPr>
        <w:t>陕西省特种设备检验检测研究院</w:t>
      </w:r>
    </w:p>
    <w:p>
      <w:pPr>
        <w:jc w:val="center"/>
        <w:rPr>
          <w:b/>
          <w:sz w:val="30"/>
          <w:szCs w:val="30"/>
        </w:rPr>
        <w:sectPr>
          <w:headerReference r:id="rId3" w:type="first"/>
          <w:footerReference r:id="rId5" w:type="first"/>
          <w:footerReference r:id="rId4" w:type="even"/>
          <w:pgSz w:w="11906" w:h="16838"/>
          <w:pgMar w:top="1417" w:right="1134" w:bottom="1134" w:left="1418" w:header="1417" w:footer="1134" w:gutter="0"/>
          <w:cols w:space="720" w:num="1"/>
          <w:formProt w:val="0"/>
          <w:docGrid w:type="lines" w:linePitch="366" w:charSpace="0"/>
        </w:sectPr>
      </w:pPr>
      <w:r>
        <w:rPr>
          <w:b/>
          <w:sz w:val="30"/>
          <w:szCs w:val="30"/>
        </w:rPr>
        <w:t>20</w:t>
      </w:r>
      <w:r>
        <w:rPr>
          <w:rFonts w:hint="eastAsia"/>
          <w:b/>
          <w:sz w:val="30"/>
          <w:szCs w:val="30"/>
        </w:rPr>
        <w:t>21</w:t>
      </w:r>
      <w:r>
        <w:rPr>
          <w:b/>
          <w:sz w:val="30"/>
          <w:szCs w:val="30"/>
        </w:rPr>
        <w:t>年</w:t>
      </w:r>
      <w:r>
        <w:rPr>
          <w:rFonts w:hint="eastAsia"/>
          <w:b/>
          <w:sz w:val="30"/>
          <w:szCs w:val="30"/>
          <w:lang w:val="en-US" w:eastAsia="zh-CN"/>
        </w:rPr>
        <w:t>7</w:t>
      </w:r>
      <w:r>
        <w:rPr>
          <w:b/>
          <w:sz w:val="30"/>
          <w:szCs w:val="30"/>
        </w:rPr>
        <w:t>月</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目</w:t>
      </w: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val="en-US" w:eastAsia="zh-CN"/>
        </w:rPr>
        <w:t>录</w:t>
      </w:r>
    </w:p>
    <w:p>
      <w:pPr>
        <w:jc w:val="center"/>
        <w:rPr>
          <w:rFonts w:hint="eastAsia" w:ascii="宋体" w:hAnsi="宋体" w:eastAsia="宋体" w:cs="宋体"/>
          <w:b/>
          <w:bCs/>
          <w:sz w:val="32"/>
          <w:szCs w:val="32"/>
          <w:lang w:val="en-US" w:eastAsia="zh-CN"/>
        </w:rPr>
      </w:pPr>
    </w:p>
    <w:sdt>
      <w:sdtPr>
        <w:rPr>
          <w:rFonts w:ascii="宋体" w:hAnsi="宋体" w:eastAsia="宋体" w:cs="Times New Roman"/>
          <w:kern w:val="2"/>
          <w:sz w:val="21"/>
          <w:szCs w:val="21"/>
          <w:lang w:val="en-US" w:eastAsia="zh-CN" w:bidi="ar-SA"/>
        </w:rPr>
        <w:id w:val="147459573"/>
        <w15:color w:val="DBDBDB"/>
        <w:docPartObj>
          <w:docPartGallery w:val="Table of Contents"/>
          <w:docPartUnique/>
        </w:docPartObj>
      </w:sdtPr>
      <w:sdtEndPr>
        <w:rPr>
          <w:rFonts w:ascii="宋体" w:hAnsi="宋体" w:eastAsia="宋体" w:cs="Times New Roman"/>
          <w:b/>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rPr>
          </w:pPr>
          <w:r>
            <w:fldChar w:fldCharType="begin"/>
          </w:r>
          <w:r>
            <w:instrText xml:space="preserve">TOC \o "1-2" \h \u </w:instrText>
          </w:r>
          <w:r>
            <w:fldChar w:fldCharType="separate"/>
          </w:r>
          <w:r>
            <w:rPr>
              <w:b/>
              <w:sz w:val="24"/>
              <w:szCs w:val="24"/>
            </w:rPr>
            <w:fldChar w:fldCharType="begin"/>
          </w:r>
          <w:r>
            <w:rPr>
              <w:b/>
              <w:sz w:val="24"/>
              <w:szCs w:val="24"/>
            </w:rPr>
            <w:instrText xml:space="preserve"> HYPERLINK \l _Toc21025 </w:instrText>
          </w:r>
          <w:r>
            <w:rPr>
              <w:b/>
              <w:sz w:val="24"/>
              <w:szCs w:val="24"/>
            </w:rPr>
            <w:fldChar w:fldCharType="separate"/>
          </w:r>
          <w:r>
            <w:rPr>
              <w:b/>
              <w:sz w:val="24"/>
              <w:szCs w:val="24"/>
            </w:rPr>
            <w:t>1工作</w:t>
          </w:r>
          <w:r>
            <w:rPr>
              <w:rFonts w:hint="eastAsia"/>
              <w:b/>
              <w:sz w:val="24"/>
              <w:szCs w:val="24"/>
              <w:lang w:eastAsia="zh-CN"/>
            </w:rPr>
            <w:t>概</w:t>
          </w:r>
          <w:r>
            <w:rPr>
              <w:b/>
              <w:sz w:val="24"/>
              <w:szCs w:val="24"/>
            </w:rPr>
            <w:t>况</w:t>
          </w:r>
          <w:r>
            <w:rPr>
              <w:b/>
              <w:sz w:val="24"/>
              <w:szCs w:val="24"/>
            </w:rPr>
            <w:tab/>
          </w:r>
          <w:r>
            <w:rPr>
              <w:b/>
              <w:sz w:val="24"/>
              <w:szCs w:val="24"/>
            </w:rPr>
            <w:fldChar w:fldCharType="begin"/>
          </w:r>
          <w:r>
            <w:rPr>
              <w:b/>
              <w:sz w:val="24"/>
              <w:szCs w:val="24"/>
            </w:rPr>
            <w:instrText xml:space="preserve"> PAGEREF _Toc21025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_Toc2135 </w:instrText>
          </w:r>
          <w:r>
            <w:rPr>
              <w:sz w:val="24"/>
              <w:szCs w:val="24"/>
            </w:rPr>
            <w:fldChar w:fldCharType="separate"/>
          </w:r>
          <w:r>
            <w:rPr>
              <w:rFonts w:ascii="Times New Roman" w:hAnsi="Times New Roman"/>
              <w:sz w:val="24"/>
              <w:szCs w:val="24"/>
            </w:rPr>
            <w:t>1.1任务来源</w:t>
          </w:r>
          <w:r>
            <w:rPr>
              <w:sz w:val="24"/>
              <w:szCs w:val="24"/>
            </w:rPr>
            <w:tab/>
          </w:r>
          <w:r>
            <w:rPr>
              <w:sz w:val="24"/>
              <w:szCs w:val="24"/>
            </w:rPr>
            <w:fldChar w:fldCharType="begin"/>
          </w:r>
          <w:r>
            <w:rPr>
              <w:sz w:val="24"/>
              <w:szCs w:val="24"/>
            </w:rPr>
            <w:instrText xml:space="preserve"> PAGEREF _Toc2135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_Toc2266 </w:instrText>
          </w:r>
          <w:r>
            <w:rPr>
              <w:sz w:val="24"/>
              <w:szCs w:val="24"/>
            </w:rPr>
            <w:fldChar w:fldCharType="separate"/>
          </w:r>
          <w:r>
            <w:rPr>
              <w:rFonts w:ascii="Times New Roman" w:hAnsi="Times New Roman"/>
              <w:sz w:val="24"/>
              <w:szCs w:val="24"/>
            </w:rPr>
            <w:t>1.2</w:t>
          </w:r>
          <w:r>
            <w:rPr>
              <w:rFonts w:hint="eastAsia" w:ascii="Times New Roman" w:hAnsi="Times New Roman"/>
              <w:sz w:val="24"/>
              <w:szCs w:val="24"/>
              <w:lang w:eastAsia="zh-CN"/>
            </w:rPr>
            <w:t>目的意义</w:t>
          </w:r>
          <w:r>
            <w:rPr>
              <w:sz w:val="24"/>
              <w:szCs w:val="24"/>
            </w:rPr>
            <w:tab/>
          </w:r>
          <w:r>
            <w:rPr>
              <w:sz w:val="24"/>
              <w:szCs w:val="24"/>
            </w:rPr>
            <w:fldChar w:fldCharType="begin"/>
          </w:r>
          <w:r>
            <w:rPr>
              <w:sz w:val="24"/>
              <w:szCs w:val="24"/>
            </w:rPr>
            <w:instrText xml:space="preserve"> PAGEREF _Toc2266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_Toc3086 </w:instrText>
          </w:r>
          <w:r>
            <w:rPr>
              <w:sz w:val="24"/>
              <w:szCs w:val="24"/>
            </w:rPr>
            <w:fldChar w:fldCharType="separate"/>
          </w:r>
          <w:r>
            <w:rPr>
              <w:rFonts w:hint="eastAsia" w:ascii="Times New Roman" w:hAnsi="Times New Roman" w:cs="Times New Roman"/>
              <w:sz w:val="24"/>
              <w:szCs w:val="24"/>
              <w:lang w:val="en-US" w:eastAsia="zh-CN"/>
            </w:rPr>
            <w:t>1.3承担单位</w:t>
          </w:r>
          <w:r>
            <w:rPr>
              <w:sz w:val="24"/>
              <w:szCs w:val="24"/>
            </w:rPr>
            <w:tab/>
          </w:r>
          <w:r>
            <w:rPr>
              <w:sz w:val="24"/>
              <w:szCs w:val="24"/>
            </w:rPr>
            <w:fldChar w:fldCharType="begin"/>
          </w:r>
          <w:r>
            <w:rPr>
              <w:sz w:val="24"/>
              <w:szCs w:val="24"/>
            </w:rPr>
            <w:instrText xml:space="preserve"> PAGEREF _Toc3086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_Toc27046 </w:instrText>
          </w:r>
          <w:r>
            <w:rPr>
              <w:sz w:val="24"/>
              <w:szCs w:val="24"/>
            </w:rPr>
            <w:fldChar w:fldCharType="separate"/>
          </w:r>
          <w:r>
            <w:rPr>
              <w:rFonts w:hint="eastAsia" w:ascii="Times New Roman" w:hAnsi="Times New Roman" w:cs="Times New Roman"/>
              <w:sz w:val="24"/>
              <w:szCs w:val="24"/>
              <w:lang w:val="en-US" w:eastAsia="zh-CN"/>
            </w:rPr>
            <w:t>1.4主要工作过程</w:t>
          </w:r>
          <w:r>
            <w:rPr>
              <w:sz w:val="24"/>
              <w:szCs w:val="24"/>
            </w:rPr>
            <w:tab/>
          </w:r>
          <w:r>
            <w:rPr>
              <w:sz w:val="24"/>
              <w:szCs w:val="24"/>
            </w:rPr>
            <w:fldChar w:fldCharType="begin"/>
          </w:r>
          <w:r>
            <w:rPr>
              <w:sz w:val="24"/>
              <w:szCs w:val="24"/>
            </w:rPr>
            <w:instrText xml:space="preserve"> PAGEREF _Toc27046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_Toc5222 </w:instrText>
          </w:r>
          <w:r>
            <w:rPr>
              <w:sz w:val="24"/>
              <w:szCs w:val="24"/>
            </w:rPr>
            <w:fldChar w:fldCharType="separate"/>
          </w:r>
          <w:r>
            <w:rPr>
              <w:rFonts w:hint="eastAsia" w:ascii="Times New Roman" w:hAnsi="Times New Roman" w:cs="Times New Roman"/>
              <w:sz w:val="24"/>
              <w:szCs w:val="24"/>
              <w:lang w:val="en-US" w:eastAsia="zh-CN"/>
            </w:rPr>
            <w:t>1.5起草组成员及任务分工</w:t>
          </w:r>
          <w:r>
            <w:rPr>
              <w:sz w:val="24"/>
              <w:szCs w:val="24"/>
            </w:rPr>
            <w:tab/>
          </w:r>
          <w:r>
            <w:rPr>
              <w:sz w:val="24"/>
              <w:szCs w:val="24"/>
            </w:rPr>
            <w:fldChar w:fldCharType="begin"/>
          </w:r>
          <w:r>
            <w:rPr>
              <w:sz w:val="24"/>
              <w:szCs w:val="24"/>
            </w:rPr>
            <w:instrText xml:space="preserve"> PAGEREF _Toc5222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_Toc27761 </w:instrText>
          </w:r>
          <w:r>
            <w:rPr>
              <w:b/>
              <w:sz w:val="24"/>
              <w:szCs w:val="24"/>
            </w:rPr>
            <w:fldChar w:fldCharType="separate"/>
          </w:r>
          <w:r>
            <w:rPr>
              <w:rFonts w:hint="eastAsia" w:ascii="Times New Roman" w:hAnsi="Times New Roman" w:cs="Times New Roman"/>
              <w:b/>
              <w:sz w:val="24"/>
              <w:szCs w:val="24"/>
            </w:rPr>
            <w:t>2. 标准编制原则和主要内容</w:t>
          </w:r>
          <w:r>
            <w:rPr>
              <w:b/>
              <w:sz w:val="24"/>
              <w:szCs w:val="24"/>
            </w:rPr>
            <w:tab/>
          </w:r>
          <w:r>
            <w:rPr>
              <w:b/>
              <w:sz w:val="24"/>
              <w:szCs w:val="24"/>
            </w:rPr>
            <w:fldChar w:fldCharType="begin"/>
          </w:r>
          <w:r>
            <w:rPr>
              <w:b/>
              <w:sz w:val="24"/>
              <w:szCs w:val="24"/>
            </w:rPr>
            <w:instrText xml:space="preserve"> PAGEREF _Toc27761 </w:instrText>
          </w:r>
          <w:r>
            <w:rPr>
              <w:b/>
              <w:sz w:val="24"/>
              <w:szCs w:val="24"/>
            </w:rPr>
            <w:fldChar w:fldCharType="separate"/>
          </w:r>
          <w:r>
            <w:rPr>
              <w:b/>
              <w:sz w:val="24"/>
              <w:szCs w:val="24"/>
            </w:rPr>
            <w:t>3</w:t>
          </w:r>
          <w:r>
            <w:rPr>
              <w:b/>
              <w:sz w:val="24"/>
              <w:szCs w:val="24"/>
            </w:rPr>
            <w:fldChar w:fldCharType="end"/>
          </w:r>
          <w:r>
            <w:rPr>
              <w:b/>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_Toc16364 </w:instrText>
          </w:r>
          <w:r>
            <w:rPr>
              <w:sz w:val="24"/>
              <w:szCs w:val="24"/>
            </w:rPr>
            <w:fldChar w:fldCharType="separate"/>
          </w:r>
          <w:r>
            <w:rPr>
              <w:rFonts w:hint="eastAsia" w:ascii="Times New Roman" w:hAnsi="Times New Roman" w:cs="Times New Roman"/>
              <w:sz w:val="24"/>
              <w:szCs w:val="24"/>
              <w:lang w:val="en-US" w:eastAsia="zh-CN"/>
            </w:rPr>
            <w:t>2.1标准编制原则</w:t>
          </w:r>
          <w:r>
            <w:rPr>
              <w:sz w:val="24"/>
              <w:szCs w:val="24"/>
            </w:rPr>
            <w:tab/>
          </w:r>
          <w:r>
            <w:rPr>
              <w:sz w:val="24"/>
              <w:szCs w:val="24"/>
            </w:rPr>
            <w:fldChar w:fldCharType="begin"/>
          </w:r>
          <w:r>
            <w:rPr>
              <w:sz w:val="24"/>
              <w:szCs w:val="24"/>
            </w:rPr>
            <w:instrText xml:space="preserve"> PAGEREF _Toc16364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_Toc4184 </w:instrText>
          </w:r>
          <w:r>
            <w:rPr>
              <w:sz w:val="24"/>
              <w:szCs w:val="24"/>
            </w:rPr>
            <w:fldChar w:fldCharType="separate"/>
          </w:r>
          <w:r>
            <w:rPr>
              <w:rFonts w:hint="eastAsia" w:ascii="Times New Roman" w:hAnsi="Times New Roman" w:cs="Times New Roman"/>
              <w:sz w:val="24"/>
              <w:szCs w:val="24"/>
              <w:lang w:val="en-US" w:eastAsia="zh-CN"/>
            </w:rPr>
            <w:t>2.2标准主要内容</w:t>
          </w:r>
          <w:r>
            <w:rPr>
              <w:sz w:val="24"/>
              <w:szCs w:val="24"/>
            </w:rPr>
            <w:tab/>
          </w:r>
          <w:r>
            <w:rPr>
              <w:sz w:val="24"/>
              <w:szCs w:val="24"/>
            </w:rPr>
            <w:fldChar w:fldCharType="begin"/>
          </w:r>
          <w:r>
            <w:rPr>
              <w:sz w:val="24"/>
              <w:szCs w:val="24"/>
            </w:rPr>
            <w:instrText xml:space="preserve"> PAGEREF _Toc4184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_Toc25963 </w:instrText>
          </w:r>
          <w:r>
            <w:rPr>
              <w:sz w:val="24"/>
              <w:szCs w:val="24"/>
            </w:rPr>
            <w:fldChar w:fldCharType="separate"/>
          </w:r>
          <w:r>
            <w:rPr>
              <w:rFonts w:hint="eastAsia" w:ascii="Times New Roman" w:hAnsi="Times New Roman" w:cs="Times New Roman"/>
              <w:sz w:val="24"/>
              <w:szCs w:val="24"/>
              <w:lang w:val="en-US" w:eastAsia="zh-CN"/>
            </w:rPr>
            <w:t>2.3标准的确定依据</w:t>
          </w:r>
          <w:r>
            <w:rPr>
              <w:sz w:val="24"/>
              <w:szCs w:val="24"/>
            </w:rPr>
            <w:tab/>
          </w:r>
          <w:r>
            <w:rPr>
              <w:sz w:val="24"/>
              <w:szCs w:val="24"/>
            </w:rPr>
            <w:fldChar w:fldCharType="begin"/>
          </w:r>
          <w:r>
            <w:rPr>
              <w:sz w:val="24"/>
              <w:szCs w:val="24"/>
            </w:rPr>
            <w:instrText xml:space="preserve"> PAGEREF _Toc25963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_Toc24152 </w:instrText>
          </w:r>
          <w:r>
            <w:rPr>
              <w:sz w:val="24"/>
              <w:szCs w:val="24"/>
            </w:rPr>
            <w:fldChar w:fldCharType="separate"/>
          </w:r>
          <w:r>
            <w:rPr>
              <w:rFonts w:hint="default" w:ascii="Times New Roman" w:hAnsi="Times New Roman" w:eastAsia="宋体" w:cs="Times New Roman"/>
              <w:sz w:val="24"/>
              <w:szCs w:val="24"/>
              <w:lang w:val="en-US" w:eastAsia="zh-CN"/>
            </w:rPr>
            <w:t>2.4</w:t>
          </w:r>
          <w:r>
            <w:rPr>
              <w:rFonts w:hint="eastAsia" w:ascii="宋体" w:hAnsi="宋体" w:eastAsia="宋体" w:cs="宋体"/>
              <w:sz w:val="24"/>
              <w:szCs w:val="24"/>
              <w:lang w:val="en-US" w:eastAsia="zh-CN"/>
            </w:rPr>
            <w:t>标准的创新性</w:t>
          </w:r>
          <w:r>
            <w:rPr>
              <w:rFonts w:hint="eastAsia"/>
              <w:sz w:val="24"/>
              <w:szCs w:val="24"/>
              <w:lang w:val="en-US" w:eastAsia="zh-CN"/>
            </w:rPr>
            <w:t xml:space="preserve">  </w:t>
          </w:r>
          <w:r>
            <w:rPr>
              <w:sz w:val="24"/>
              <w:szCs w:val="24"/>
            </w:rPr>
            <w:tab/>
          </w:r>
          <w:r>
            <w:rPr>
              <w:sz w:val="24"/>
              <w:szCs w:val="24"/>
            </w:rPr>
            <w:fldChar w:fldCharType="begin"/>
          </w:r>
          <w:r>
            <w:rPr>
              <w:sz w:val="24"/>
              <w:szCs w:val="24"/>
            </w:rPr>
            <w:instrText xml:space="preserve"> PAGEREF _Toc24152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_Toc27027 </w:instrText>
          </w:r>
          <w:r>
            <w:rPr>
              <w:b/>
              <w:sz w:val="24"/>
              <w:szCs w:val="24"/>
            </w:rPr>
            <w:fldChar w:fldCharType="separate"/>
          </w:r>
          <w:r>
            <w:rPr>
              <w:rFonts w:hint="eastAsia" w:ascii="Times New Roman" w:hAnsi="Times New Roman" w:cs="Times New Roman"/>
              <w:b/>
              <w:sz w:val="24"/>
              <w:szCs w:val="24"/>
              <w:lang w:val="en-US" w:eastAsia="zh-CN"/>
            </w:rPr>
            <w:t>3.实证研究</w:t>
          </w:r>
          <w:r>
            <w:rPr>
              <w:b/>
              <w:sz w:val="24"/>
              <w:szCs w:val="24"/>
            </w:rPr>
            <w:tab/>
          </w:r>
          <w:r>
            <w:rPr>
              <w:b/>
              <w:sz w:val="24"/>
              <w:szCs w:val="24"/>
            </w:rPr>
            <w:fldChar w:fldCharType="begin"/>
          </w:r>
          <w:r>
            <w:rPr>
              <w:b/>
              <w:sz w:val="24"/>
              <w:szCs w:val="24"/>
            </w:rPr>
            <w:instrText xml:space="preserve"> PAGEREF _Toc27027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_Toc2702 </w:instrText>
          </w:r>
          <w:r>
            <w:rPr>
              <w:b/>
              <w:sz w:val="24"/>
              <w:szCs w:val="24"/>
            </w:rPr>
            <w:fldChar w:fldCharType="separate"/>
          </w:r>
          <w:r>
            <w:rPr>
              <w:rFonts w:hint="eastAsia" w:ascii="Times New Roman" w:hAnsi="Times New Roman" w:cs="Times New Roman"/>
              <w:b/>
              <w:sz w:val="24"/>
              <w:szCs w:val="24"/>
              <w:lang w:val="en-US" w:eastAsia="zh-CN"/>
            </w:rPr>
            <w:t>4.知识产权说明</w:t>
          </w:r>
          <w:r>
            <w:rPr>
              <w:b/>
              <w:sz w:val="24"/>
              <w:szCs w:val="24"/>
            </w:rPr>
            <w:tab/>
          </w:r>
          <w:r>
            <w:rPr>
              <w:b/>
              <w:sz w:val="24"/>
              <w:szCs w:val="24"/>
            </w:rPr>
            <w:fldChar w:fldCharType="begin"/>
          </w:r>
          <w:r>
            <w:rPr>
              <w:b/>
              <w:sz w:val="24"/>
              <w:szCs w:val="24"/>
            </w:rPr>
            <w:instrText xml:space="preserve"> PAGEREF _Toc2702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_Toc12681 </w:instrText>
          </w:r>
          <w:r>
            <w:rPr>
              <w:b/>
              <w:sz w:val="24"/>
              <w:szCs w:val="24"/>
            </w:rPr>
            <w:fldChar w:fldCharType="separate"/>
          </w:r>
          <w:r>
            <w:rPr>
              <w:rFonts w:hint="eastAsia" w:ascii="Times New Roman" w:hAnsi="Times New Roman" w:cs="Times New Roman"/>
              <w:b/>
              <w:sz w:val="24"/>
              <w:szCs w:val="24"/>
              <w:lang w:val="en-US" w:eastAsia="zh-CN"/>
            </w:rPr>
            <w:t>5.采标情况</w:t>
          </w:r>
          <w:r>
            <w:rPr>
              <w:b/>
              <w:sz w:val="24"/>
              <w:szCs w:val="24"/>
            </w:rPr>
            <w:tab/>
          </w:r>
          <w:r>
            <w:rPr>
              <w:b/>
              <w:sz w:val="24"/>
              <w:szCs w:val="24"/>
            </w:rPr>
            <w:fldChar w:fldCharType="begin"/>
          </w:r>
          <w:r>
            <w:rPr>
              <w:b/>
              <w:sz w:val="24"/>
              <w:szCs w:val="24"/>
            </w:rPr>
            <w:instrText xml:space="preserve"> PAGEREF _Toc12681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_Toc26881 </w:instrText>
          </w:r>
          <w:r>
            <w:rPr>
              <w:b/>
              <w:sz w:val="24"/>
              <w:szCs w:val="24"/>
            </w:rPr>
            <w:fldChar w:fldCharType="separate"/>
          </w:r>
          <w:r>
            <w:rPr>
              <w:rFonts w:hint="eastAsia" w:ascii="Times New Roman" w:hAnsi="Times New Roman" w:cs="Times New Roman"/>
              <w:b/>
              <w:sz w:val="24"/>
              <w:szCs w:val="24"/>
              <w:lang w:val="en-US" w:eastAsia="zh-CN"/>
            </w:rPr>
            <w:t>6.重大分歧意见的处理经过和依据</w:t>
          </w:r>
          <w:r>
            <w:rPr>
              <w:b/>
              <w:sz w:val="24"/>
              <w:szCs w:val="24"/>
            </w:rPr>
            <w:tab/>
          </w:r>
          <w:r>
            <w:rPr>
              <w:b/>
              <w:sz w:val="24"/>
              <w:szCs w:val="24"/>
            </w:rPr>
            <w:fldChar w:fldCharType="begin"/>
          </w:r>
          <w:r>
            <w:rPr>
              <w:b/>
              <w:sz w:val="24"/>
              <w:szCs w:val="24"/>
            </w:rPr>
            <w:instrText xml:space="preserve"> PAGEREF _Toc26881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rPr>
          </w:pPr>
          <w:r>
            <w:rPr>
              <w:b/>
              <w:sz w:val="24"/>
              <w:szCs w:val="24"/>
            </w:rPr>
            <w:fldChar w:fldCharType="begin"/>
          </w:r>
          <w:r>
            <w:rPr>
              <w:b/>
              <w:sz w:val="24"/>
              <w:szCs w:val="24"/>
            </w:rPr>
            <w:instrText xml:space="preserve"> HYPERLINK \l _Toc7886 </w:instrText>
          </w:r>
          <w:r>
            <w:rPr>
              <w:b/>
              <w:sz w:val="24"/>
              <w:szCs w:val="24"/>
            </w:rPr>
            <w:fldChar w:fldCharType="separate"/>
          </w:r>
          <w:r>
            <w:rPr>
              <w:rFonts w:hint="eastAsia" w:ascii="Times New Roman" w:hAnsi="Times New Roman" w:cs="Times New Roman"/>
              <w:b/>
              <w:sz w:val="24"/>
              <w:szCs w:val="24"/>
              <w:lang w:val="en-US" w:eastAsia="zh-CN"/>
            </w:rPr>
            <w:t>7.标准性质的建议说明</w:t>
          </w:r>
          <w:r>
            <w:rPr>
              <w:b/>
              <w:sz w:val="24"/>
              <w:szCs w:val="24"/>
            </w:rPr>
            <w:tab/>
          </w:r>
          <w:r>
            <w:rPr>
              <w:b/>
              <w:sz w:val="24"/>
              <w:szCs w:val="24"/>
            </w:rPr>
            <w:fldChar w:fldCharType="begin"/>
          </w:r>
          <w:r>
            <w:rPr>
              <w:b/>
              <w:sz w:val="24"/>
              <w:szCs w:val="24"/>
            </w:rPr>
            <w:instrText xml:space="preserve"> PAGEREF _Toc7886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pPr>
            <w:pStyle w:val="11"/>
            <w:tabs>
              <w:tab w:val="right" w:leader="dot" w:pos="8306"/>
            </w:tabs>
            <w:rPr>
              <w:b/>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11"/>
            <w:tabs>
              <w:tab w:val="right" w:leader="dot" w:pos="8306"/>
            </w:tabs>
            <w:rPr>
              <w:b/>
            </w:rPr>
          </w:pPr>
        </w:p>
        <w:p>
          <w:r>
            <w:rPr>
              <w:b/>
            </w:rPr>
            <w:fldChar w:fldCharType="end"/>
          </w:r>
        </w:p>
      </w:sdtContent>
    </w:sdt>
    <w:p>
      <w:pPr>
        <w:jc w:val="center"/>
        <w:outlineLvl w:val="0"/>
        <w:rPr>
          <w:b/>
          <w:sz w:val="36"/>
          <w:szCs w:val="36"/>
        </w:rPr>
      </w:pPr>
      <w:bookmarkStart w:id="0" w:name="_Toc26262"/>
      <w:r>
        <w:rPr>
          <w:b/>
          <w:sz w:val="36"/>
          <w:szCs w:val="36"/>
        </w:rPr>
        <w:t>《</w:t>
      </w:r>
      <w:r>
        <w:rPr>
          <w:rFonts w:hint="eastAsia"/>
          <w:b/>
          <w:sz w:val="44"/>
          <w:szCs w:val="44"/>
          <w:lang w:eastAsia="zh-CN"/>
        </w:rPr>
        <w:t>固定平台搬运车</w:t>
      </w:r>
      <w:r>
        <w:rPr>
          <w:rFonts w:hint="eastAsia"/>
          <w:b/>
          <w:sz w:val="44"/>
          <w:szCs w:val="44"/>
        </w:rPr>
        <w:t>检验规则</w:t>
      </w:r>
      <w:r>
        <w:rPr>
          <w:b/>
          <w:sz w:val="36"/>
          <w:szCs w:val="36"/>
        </w:rPr>
        <w:t>》</w:t>
      </w:r>
      <w:bookmarkEnd w:id="0"/>
    </w:p>
    <w:p>
      <w:pPr>
        <w:jc w:val="center"/>
        <w:outlineLvl w:val="0"/>
        <w:rPr>
          <w:sz w:val="36"/>
          <w:szCs w:val="36"/>
        </w:rPr>
      </w:pPr>
      <w:bookmarkStart w:id="1" w:name="_Toc13738"/>
      <w:r>
        <w:rPr>
          <w:b/>
          <w:sz w:val="36"/>
          <w:szCs w:val="36"/>
        </w:rPr>
        <w:t>编制说明</w:t>
      </w:r>
      <w:bookmarkEnd w:id="1"/>
    </w:p>
    <w:p>
      <w:pPr>
        <w:pStyle w:val="2"/>
        <w:spacing w:before="0" w:after="0" w:line="360" w:lineRule="auto"/>
        <w:ind w:firstLine="602" w:firstLineChars="200"/>
        <w:rPr>
          <w:sz w:val="30"/>
          <w:szCs w:val="30"/>
        </w:rPr>
      </w:pPr>
      <w:bookmarkStart w:id="2" w:name="_Toc21025"/>
      <w:bookmarkStart w:id="3" w:name="_Toc19793797"/>
      <w:r>
        <w:rPr>
          <w:sz w:val="30"/>
          <w:szCs w:val="30"/>
        </w:rPr>
        <w:t>1工作</w:t>
      </w:r>
      <w:r>
        <w:rPr>
          <w:rFonts w:hint="eastAsia"/>
          <w:sz w:val="30"/>
          <w:szCs w:val="30"/>
          <w:lang w:eastAsia="zh-CN"/>
        </w:rPr>
        <w:t>概</w:t>
      </w:r>
      <w:r>
        <w:rPr>
          <w:sz w:val="30"/>
          <w:szCs w:val="30"/>
        </w:rPr>
        <w:t>况</w:t>
      </w:r>
      <w:bookmarkEnd w:id="2"/>
      <w:bookmarkEnd w:id="3"/>
    </w:p>
    <w:p>
      <w:pPr>
        <w:pStyle w:val="3"/>
        <w:spacing w:before="0" w:after="0" w:line="360" w:lineRule="auto"/>
        <w:ind w:firstLine="562" w:firstLineChars="200"/>
        <w:outlineLvl w:val="0"/>
        <w:rPr>
          <w:rFonts w:ascii="Times New Roman" w:hAnsi="Times New Roman"/>
          <w:sz w:val="28"/>
          <w:szCs w:val="28"/>
        </w:rPr>
      </w:pPr>
      <w:bookmarkStart w:id="4" w:name="_Toc19793798"/>
      <w:bookmarkStart w:id="5" w:name="_Toc2135"/>
      <w:r>
        <w:rPr>
          <w:rFonts w:ascii="Times New Roman" w:hAnsi="Times New Roman"/>
          <w:sz w:val="28"/>
          <w:szCs w:val="28"/>
        </w:rPr>
        <w:t>1.1任务来源</w:t>
      </w:r>
      <w:bookmarkEnd w:id="4"/>
      <w:bookmarkEnd w:id="5"/>
    </w:p>
    <w:p>
      <w:pPr>
        <w:pStyle w:val="10"/>
        <w:spacing w:line="360" w:lineRule="auto"/>
        <w:ind w:firstLine="480"/>
        <w:rPr>
          <w:rFonts w:hint="eastAsia" w:ascii="Times New Roman"/>
          <w:kern w:val="2"/>
          <w:sz w:val="24"/>
          <w:szCs w:val="24"/>
        </w:rPr>
      </w:pPr>
      <w:r>
        <w:rPr>
          <w:rFonts w:hint="eastAsia" w:ascii="Times New Roman"/>
          <w:kern w:val="2"/>
          <w:sz w:val="24"/>
          <w:szCs w:val="24"/>
        </w:rPr>
        <w:t>陕西省特种设备检验检测研究院于2020年</w:t>
      </w:r>
      <w:r>
        <w:rPr>
          <w:rFonts w:hint="eastAsia" w:ascii="Times New Roman"/>
          <w:color w:val="auto"/>
          <w:kern w:val="2"/>
          <w:sz w:val="24"/>
          <w:szCs w:val="24"/>
        </w:rPr>
        <w:t>03</w:t>
      </w:r>
      <w:r>
        <w:rPr>
          <w:rFonts w:hint="eastAsia" w:ascii="Times New Roman"/>
          <w:kern w:val="2"/>
          <w:sz w:val="24"/>
          <w:szCs w:val="24"/>
        </w:rPr>
        <w:t>月向陕西省市场监督管理局申请 《</w:t>
      </w:r>
      <w:r>
        <w:rPr>
          <w:rFonts w:hint="eastAsia" w:ascii="Times New Roman"/>
          <w:kern w:val="2"/>
          <w:sz w:val="24"/>
          <w:szCs w:val="24"/>
          <w:lang w:eastAsia="zh-CN"/>
        </w:rPr>
        <w:t>固定平台搬运车</w:t>
      </w:r>
      <w:r>
        <w:rPr>
          <w:rFonts w:hint="eastAsia" w:ascii="Times New Roman"/>
          <w:kern w:val="2"/>
          <w:sz w:val="24"/>
          <w:szCs w:val="24"/>
        </w:rPr>
        <w:t>检验规则》标准制定项目，并获得立项，项目批文为</w:t>
      </w:r>
      <w:r>
        <w:rPr>
          <w:rFonts w:ascii="Times New Roman"/>
          <w:kern w:val="2"/>
          <w:sz w:val="24"/>
          <w:szCs w:val="24"/>
        </w:rPr>
        <w:t>陕西省</w:t>
      </w:r>
      <w:r>
        <w:rPr>
          <w:rFonts w:hint="eastAsia" w:ascii="Times New Roman"/>
          <w:kern w:val="2"/>
          <w:sz w:val="24"/>
          <w:szCs w:val="24"/>
        </w:rPr>
        <w:t>市场</w:t>
      </w:r>
      <w:r>
        <w:rPr>
          <w:rFonts w:ascii="Times New Roman"/>
          <w:kern w:val="2"/>
          <w:sz w:val="24"/>
          <w:szCs w:val="24"/>
        </w:rPr>
        <w:t>监督管理局</w:t>
      </w:r>
      <w:r>
        <w:rPr>
          <w:rFonts w:hint="eastAsia" w:ascii="Times New Roman"/>
          <w:kern w:val="2"/>
          <w:sz w:val="24"/>
          <w:szCs w:val="24"/>
        </w:rPr>
        <w:t>2020年6月30日</w:t>
      </w:r>
      <w:r>
        <w:rPr>
          <w:rFonts w:ascii="Times New Roman"/>
          <w:kern w:val="2"/>
          <w:sz w:val="24"/>
          <w:szCs w:val="24"/>
        </w:rPr>
        <w:t>《关于下达20</w:t>
      </w:r>
      <w:r>
        <w:rPr>
          <w:rFonts w:hint="eastAsia" w:ascii="Times New Roman"/>
          <w:kern w:val="2"/>
          <w:sz w:val="24"/>
          <w:szCs w:val="24"/>
        </w:rPr>
        <w:t>20</w:t>
      </w:r>
      <w:r>
        <w:rPr>
          <w:rFonts w:ascii="Times New Roman"/>
          <w:kern w:val="2"/>
          <w:sz w:val="24"/>
          <w:szCs w:val="24"/>
        </w:rPr>
        <w:t>年</w:t>
      </w:r>
      <w:r>
        <w:rPr>
          <w:rFonts w:hint="eastAsia" w:ascii="Times New Roman"/>
          <w:kern w:val="2"/>
          <w:sz w:val="24"/>
          <w:szCs w:val="24"/>
        </w:rPr>
        <w:t>陕西</w:t>
      </w:r>
      <w:r>
        <w:rPr>
          <w:rFonts w:ascii="Times New Roman"/>
          <w:kern w:val="2"/>
          <w:sz w:val="24"/>
          <w:szCs w:val="24"/>
        </w:rPr>
        <w:t>省地方标准制修订计划项目的通知》（陕</w:t>
      </w:r>
      <w:r>
        <w:rPr>
          <w:rFonts w:hint="eastAsia" w:ascii="Times New Roman"/>
          <w:kern w:val="2"/>
          <w:sz w:val="24"/>
          <w:szCs w:val="24"/>
        </w:rPr>
        <w:t>市</w:t>
      </w:r>
      <w:r>
        <w:rPr>
          <w:rFonts w:ascii="Times New Roman"/>
          <w:kern w:val="2"/>
          <w:sz w:val="24"/>
          <w:szCs w:val="24"/>
        </w:rPr>
        <w:t>监</w:t>
      </w:r>
      <w:r>
        <w:rPr>
          <w:rFonts w:hint="eastAsia" w:ascii="Times New Roman"/>
          <w:kern w:val="2"/>
          <w:sz w:val="24"/>
          <w:szCs w:val="24"/>
        </w:rPr>
        <w:t>函[</w:t>
      </w:r>
      <w:r>
        <w:rPr>
          <w:rFonts w:ascii="Times New Roman"/>
          <w:kern w:val="2"/>
          <w:sz w:val="24"/>
          <w:szCs w:val="24"/>
        </w:rPr>
        <w:t>20</w:t>
      </w:r>
      <w:r>
        <w:rPr>
          <w:rFonts w:hint="eastAsia" w:ascii="Times New Roman"/>
          <w:kern w:val="2"/>
          <w:sz w:val="24"/>
          <w:szCs w:val="24"/>
        </w:rPr>
        <w:t>20]737</w:t>
      </w:r>
      <w:r>
        <w:rPr>
          <w:rFonts w:ascii="Times New Roman"/>
          <w:kern w:val="2"/>
          <w:sz w:val="24"/>
          <w:szCs w:val="24"/>
        </w:rPr>
        <w:t>号）</w:t>
      </w:r>
      <w:r>
        <w:rPr>
          <w:rFonts w:hint="eastAsia" w:ascii="Times New Roman"/>
          <w:kern w:val="2"/>
          <w:sz w:val="24"/>
          <w:szCs w:val="24"/>
        </w:rPr>
        <w:t>，项目名称为《</w:t>
      </w:r>
      <w:r>
        <w:rPr>
          <w:rFonts w:hint="eastAsia" w:ascii="Times New Roman"/>
          <w:kern w:val="2"/>
          <w:sz w:val="24"/>
          <w:szCs w:val="24"/>
          <w:lang w:eastAsia="zh-CN"/>
        </w:rPr>
        <w:t>固定平台搬运车</w:t>
      </w:r>
      <w:r>
        <w:rPr>
          <w:rFonts w:hint="eastAsia" w:ascii="Times New Roman"/>
          <w:kern w:val="2"/>
          <w:sz w:val="24"/>
          <w:szCs w:val="24"/>
        </w:rPr>
        <w:t>检验规则》（编号：SDBXM 14</w:t>
      </w:r>
      <w:r>
        <w:rPr>
          <w:rFonts w:hint="eastAsia" w:ascii="Times New Roman"/>
          <w:kern w:val="2"/>
          <w:sz w:val="24"/>
          <w:szCs w:val="24"/>
          <w:lang w:val="en-US" w:eastAsia="zh-CN"/>
        </w:rPr>
        <w:t>6</w:t>
      </w:r>
      <w:r>
        <w:rPr>
          <w:rFonts w:hint="eastAsia" w:ascii="Times New Roman"/>
          <w:kern w:val="2"/>
          <w:sz w:val="24"/>
          <w:szCs w:val="24"/>
        </w:rPr>
        <w:t>-2020），项目承担单位为陕西省特种设备检验检测研究院。</w:t>
      </w:r>
    </w:p>
    <w:p>
      <w:pPr>
        <w:pStyle w:val="3"/>
        <w:spacing w:before="0" w:after="0" w:line="360" w:lineRule="auto"/>
        <w:ind w:firstLine="562" w:firstLineChars="200"/>
        <w:outlineLvl w:val="0"/>
        <w:rPr>
          <w:rFonts w:hint="eastAsia" w:ascii="Times New Roman" w:hAnsi="Times New Roman"/>
          <w:sz w:val="28"/>
          <w:szCs w:val="28"/>
          <w:lang w:eastAsia="zh-CN"/>
        </w:rPr>
      </w:pPr>
      <w:bookmarkStart w:id="6" w:name="_Toc19793799"/>
      <w:bookmarkStart w:id="7" w:name="_Toc2266"/>
      <w:r>
        <w:rPr>
          <w:rFonts w:ascii="Times New Roman" w:hAnsi="Times New Roman"/>
          <w:sz w:val="28"/>
          <w:szCs w:val="28"/>
        </w:rPr>
        <w:t>1.2</w:t>
      </w:r>
      <w:bookmarkEnd w:id="6"/>
      <w:r>
        <w:rPr>
          <w:rFonts w:hint="eastAsia" w:ascii="Times New Roman" w:hAnsi="Times New Roman"/>
          <w:sz w:val="28"/>
          <w:szCs w:val="28"/>
          <w:lang w:eastAsia="zh-CN"/>
        </w:rPr>
        <w:t>目的意义</w:t>
      </w:r>
      <w:bookmarkEnd w:id="7"/>
    </w:p>
    <w:p>
      <w:pPr>
        <w:pStyle w:val="10"/>
        <w:spacing w:line="360" w:lineRule="auto"/>
        <w:ind w:firstLine="480"/>
        <w:rPr>
          <w:rFonts w:hint="eastAsia"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目前，随着特种设备目录的修订，固定平台搬运车已不属于特种设备范畴。但是，该类设备的数量却在企业中逐年增长，使用单位为了确保对该类设备的安全使用，提出了大量的检验需求。现阶段，国家并无制订出台相应的检验规则，如果仅仅按照JB/T 3811-2013 《电动固定平台搬运车》及其他相关标准进行逐条验证性检验，势必会造成不必要的负担，而对于搬运车的检验，只要把控好质量控制关键点，就可把设备的不安全状态风险降到最低。</w:t>
      </w:r>
    </w:p>
    <w:p>
      <w:pPr>
        <w:pStyle w:val="10"/>
        <w:spacing w:line="360" w:lineRule="auto"/>
        <w:ind w:firstLine="480"/>
        <w:rPr>
          <w:rFonts w:hint="eastAsia" w:ascii="Times New Roman" w:hAnsi="Times New Roman" w:cs="Times New Roman"/>
          <w:kern w:val="2"/>
          <w:sz w:val="24"/>
          <w:szCs w:val="24"/>
          <w:lang w:eastAsia="zh-CN"/>
        </w:rPr>
      </w:pPr>
      <w:r>
        <w:rPr>
          <w:rFonts w:hint="eastAsia" w:ascii="Times New Roman" w:hAnsi="Times New Roman" w:cs="Times New Roman"/>
          <w:kern w:val="2"/>
          <w:sz w:val="24"/>
          <w:szCs w:val="24"/>
          <w:lang w:val="en-US" w:eastAsia="zh-CN"/>
        </w:rPr>
        <w:t>通过本标准的制定，旨在规范固定平台搬运车的检验，提高固定平台搬运车的整体检验水平。标准规定了该类设备检验项目、内容、要求和方法，为陕西省境内固定平台搬运车的检验提供了依据，保障了设备使用的安全，满足了使用单位的需求，适应了检验市场发展的变化。</w:t>
      </w:r>
    </w:p>
    <w:p>
      <w:pPr>
        <w:pStyle w:val="3"/>
        <w:spacing w:before="0" w:after="0" w:line="360" w:lineRule="auto"/>
        <w:ind w:firstLine="562" w:firstLineChars="200"/>
        <w:outlineLvl w:val="0"/>
        <w:rPr>
          <w:rFonts w:hint="default" w:ascii="Times New Roman" w:hAnsi="Times New Roman" w:cs="Times New Roman"/>
          <w:sz w:val="28"/>
          <w:szCs w:val="28"/>
          <w:lang w:val="en-US" w:eastAsia="zh-CN"/>
        </w:rPr>
      </w:pPr>
      <w:bookmarkStart w:id="8" w:name="_Toc3086"/>
      <w:r>
        <w:rPr>
          <w:rFonts w:hint="eastAsia" w:ascii="Times New Roman" w:hAnsi="Times New Roman" w:cs="Times New Roman"/>
          <w:sz w:val="28"/>
          <w:szCs w:val="28"/>
          <w:lang w:val="en-US" w:eastAsia="zh-CN"/>
        </w:rPr>
        <w:t>1.3承担单位</w:t>
      </w:r>
      <w:bookmarkEnd w:id="8"/>
    </w:p>
    <w:p>
      <w:pPr>
        <w:pStyle w:val="10"/>
        <w:spacing w:line="360" w:lineRule="auto"/>
        <w:ind w:firstLine="482"/>
        <w:rPr>
          <w:rFonts w:ascii="Times New Roman"/>
          <w:kern w:val="2"/>
          <w:sz w:val="24"/>
          <w:szCs w:val="24"/>
        </w:rPr>
      </w:pPr>
      <w:r>
        <w:rPr>
          <w:rFonts w:ascii="Times New Roman"/>
          <w:b/>
          <w:kern w:val="2"/>
          <w:sz w:val="24"/>
          <w:szCs w:val="24"/>
        </w:rPr>
        <w:t>负责承担单位：</w:t>
      </w:r>
      <w:r>
        <w:rPr>
          <w:rFonts w:hint="eastAsia" w:ascii="Times New Roman"/>
          <w:kern w:val="2"/>
          <w:sz w:val="24"/>
          <w:szCs w:val="24"/>
        </w:rPr>
        <w:t>陕西省特种设备检验检测研究院</w:t>
      </w:r>
    </w:p>
    <w:p>
      <w:pPr>
        <w:pStyle w:val="10"/>
        <w:spacing w:line="360" w:lineRule="auto"/>
        <w:ind w:firstLine="482"/>
        <w:rPr>
          <w:rFonts w:hint="eastAsia" w:ascii="Times New Roman" w:hAnsi="Times New Roman" w:cs="Times New Roman"/>
          <w:kern w:val="2"/>
          <w:sz w:val="24"/>
          <w:szCs w:val="24"/>
          <w:lang w:val="en-US" w:eastAsia="zh-CN"/>
        </w:rPr>
      </w:pPr>
      <w:r>
        <w:rPr>
          <w:b/>
          <w:sz w:val="24"/>
          <w:szCs w:val="24"/>
        </w:rPr>
        <w:t>协作单位：</w:t>
      </w:r>
      <w:r>
        <w:rPr>
          <w:rFonts w:hint="eastAsia"/>
          <w:b/>
          <w:sz w:val="24"/>
          <w:szCs w:val="24"/>
          <w:lang w:val="en-US" w:eastAsia="zh-CN"/>
        </w:rPr>
        <w:t xml:space="preserve">    </w:t>
      </w:r>
      <w:r>
        <w:rPr>
          <w:rFonts w:hint="eastAsia" w:ascii="Times New Roman" w:hAnsi="Times New Roman" w:cs="Times New Roman"/>
          <w:kern w:val="2"/>
          <w:sz w:val="24"/>
          <w:szCs w:val="24"/>
          <w:lang w:val="en-US" w:eastAsia="zh-CN"/>
        </w:rPr>
        <w:t>杭州友佳精密机械有限公司</w:t>
      </w:r>
    </w:p>
    <w:p>
      <w:pPr>
        <w:pStyle w:val="10"/>
        <w:spacing w:line="360" w:lineRule="auto"/>
        <w:ind w:firstLine="482"/>
        <w:rPr>
          <w:rFonts w:hint="eastAsia"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 xml:space="preserve">              西安飞机工业（集团）运输有限公司</w:t>
      </w:r>
    </w:p>
    <w:p>
      <w:pPr>
        <w:pStyle w:val="3"/>
        <w:spacing w:before="0" w:after="0" w:line="360" w:lineRule="auto"/>
        <w:ind w:firstLine="562" w:firstLineChars="200"/>
        <w:outlineLvl w:val="0"/>
        <w:rPr>
          <w:rFonts w:hint="eastAsia" w:ascii="Times New Roman" w:hAnsi="Times New Roman" w:cs="Times New Roman"/>
          <w:sz w:val="28"/>
          <w:szCs w:val="28"/>
          <w:lang w:val="en-US" w:eastAsia="zh-CN"/>
        </w:rPr>
      </w:pPr>
      <w:bookmarkStart w:id="9" w:name="_Toc27046"/>
      <w:r>
        <w:rPr>
          <w:rFonts w:hint="eastAsia" w:ascii="Times New Roman" w:hAnsi="Times New Roman" w:cs="Times New Roman"/>
          <w:sz w:val="28"/>
          <w:szCs w:val="28"/>
          <w:lang w:val="en-US" w:eastAsia="zh-CN"/>
        </w:rPr>
        <w:t>1.4主要工作过程</w:t>
      </w:r>
      <w:bookmarkEnd w:id="9"/>
    </w:p>
    <w:p>
      <w:pPr>
        <w:numPr>
          <w:ilvl w:val="0"/>
          <w:numId w:val="1"/>
        </w:numPr>
        <w:ind w:firstLine="560"/>
        <w:outlineLvl w:val="1"/>
        <w:rPr>
          <w:rFonts w:hint="eastAsia" w:ascii="Times New Roman" w:hAnsi="Times New Roman" w:cs="Times New Roman"/>
          <w:kern w:val="2"/>
          <w:sz w:val="24"/>
          <w:szCs w:val="24"/>
          <w:lang w:val="en-US" w:eastAsia="zh-CN"/>
        </w:rPr>
      </w:pPr>
      <w:bookmarkStart w:id="10" w:name="_Toc31474"/>
      <w:r>
        <w:rPr>
          <w:rFonts w:hint="eastAsia" w:ascii="Times New Roman" w:hAnsi="Times New Roman" w:cs="Times New Roman"/>
          <w:b/>
          <w:bCs/>
          <w:sz w:val="24"/>
          <w:szCs w:val="24"/>
          <w:lang w:val="en-US" w:eastAsia="zh-CN"/>
        </w:rPr>
        <w:t>前期准备工作</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固定平台搬运车作为厂内机动车辆的一种，早在2000年出台的特种设备质量监督与安全监察规定（质监局令第13号）将其纳入特种设备；2010年原国家质检总局在增补特种设备目录时，将其明确分类出来，列入特种设备目录（国质检特〔2010〕22号）。搬运车作为特种设备，必须经过特种设备检验机构法定检验并检验合格后方可使用。但随着原国家质检总局2014年关于修订《特种设备目录》的公告(2014年第114号)后，搬运车又被移出特种设备目录，不再需要对其进行法定检验。虽然搬运车已不属于特种设备范畴，但是，部分企业已经将搬运车的安全管理纳入了企业质量安全管理体系中，且该类设备的数量还在企业中逐年增长，特别是一些军工企业。为了确保对该类设备的安全使用，企业提出了大量的检验需求。牵头组织单位陕西省特种设备检验检测研究院前期经过市场调研与相关企业沟通，于2019年6月最终确定起草小组与成员，着手起草《固定平台搬运车检验规则》。</w:t>
      </w:r>
    </w:p>
    <w:p>
      <w:pPr>
        <w:numPr>
          <w:ilvl w:val="0"/>
          <w:numId w:val="1"/>
        </w:numPr>
        <w:ind w:firstLine="560"/>
        <w:outlineLvl w:val="1"/>
        <w:rPr>
          <w:rFonts w:hint="eastAsia" w:ascii="Times New Roman" w:hAnsi="Times New Roman" w:cs="Times New Roman"/>
          <w:b/>
          <w:bCs/>
          <w:sz w:val="24"/>
          <w:szCs w:val="24"/>
          <w:lang w:val="en-US" w:eastAsia="zh-CN"/>
        </w:rPr>
      </w:pPr>
      <w:bookmarkStart w:id="11" w:name="_Toc27077"/>
      <w:r>
        <w:rPr>
          <w:rFonts w:hint="eastAsia" w:ascii="Times New Roman" w:hAnsi="Times New Roman" w:cs="Times New Roman"/>
          <w:b/>
          <w:bCs/>
          <w:sz w:val="24"/>
          <w:szCs w:val="24"/>
          <w:lang w:val="en-US" w:eastAsia="zh-CN"/>
        </w:rPr>
        <w:t>标准草案稿起草</w:t>
      </w:r>
      <w:bookmarkEnd w:id="11"/>
    </w:p>
    <w:p>
      <w:pPr>
        <w:pStyle w:val="10"/>
        <w:spacing w:line="360" w:lineRule="auto"/>
        <w:ind w:firstLine="480"/>
        <w:rPr>
          <w:rFonts w:hint="eastAsia"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2019年7月——2020年2月期间， 起草小组收集、整理、分析国内外相关标准和资料，并结合与固定平台搬运车制造单位、使用单位沟通交流得到的意见建议，针对固定平台搬运车目前现有的行业标准JB/T 3811-2013 《电动固定平台搬运车》以及《场（厂）内专用机动车辆安全技术监察规程》（TSG N0001-2017），最终确定了《</w:t>
      </w:r>
      <w:r>
        <w:rPr>
          <w:rFonts w:hint="eastAsia" w:ascii="Times New Roman"/>
          <w:kern w:val="2"/>
          <w:sz w:val="24"/>
          <w:szCs w:val="24"/>
          <w:lang w:eastAsia="zh-CN"/>
        </w:rPr>
        <w:t>固定平台搬运车</w:t>
      </w:r>
      <w:r>
        <w:rPr>
          <w:rFonts w:hint="eastAsia" w:ascii="Times New Roman"/>
          <w:kern w:val="2"/>
          <w:sz w:val="24"/>
          <w:szCs w:val="24"/>
        </w:rPr>
        <w:t>检验规则</w:t>
      </w:r>
      <w:r>
        <w:rPr>
          <w:rFonts w:hint="eastAsia" w:ascii="Times New Roman" w:hAnsi="Times New Roman" w:cs="Times New Roman"/>
          <w:kern w:val="2"/>
          <w:sz w:val="24"/>
          <w:szCs w:val="24"/>
          <w:lang w:val="en-US" w:eastAsia="zh-CN"/>
        </w:rPr>
        <w:t>》（草案稿）。</w:t>
      </w:r>
    </w:p>
    <w:p>
      <w:pPr>
        <w:numPr>
          <w:ilvl w:val="0"/>
          <w:numId w:val="1"/>
        </w:numPr>
        <w:bidi w:val="0"/>
        <w:ind w:left="0" w:leftChars="0" w:firstLine="560" w:firstLineChars="0"/>
        <w:outlineLvl w:val="1"/>
        <w:rPr>
          <w:rFonts w:hint="eastAsia" w:ascii="Times New Roman" w:hAnsi="Times New Roman" w:cs="Times New Roman"/>
          <w:b/>
          <w:bCs/>
          <w:sz w:val="24"/>
          <w:szCs w:val="24"/>
          <w:lang w:val="en-US" w:eastAsia="zh-CN"/>
        </w:rPr>
      </w:pPr>
      <w:bookmarkStart w:id="12" w:name="_Toc4697"/>
      <w:r>
        <w:rPr>
          <w:rFonts w:hint="eastAsia" w:ascii="Times New Roman" w:hAnsi="Times New Roman" w:cs="Times New Roman"/>
          <w:b/>
          <w:bCs/>
          <w:sz w:val="24"/>
          <w:szCs w:val="24"/>
          <w:lang w:val="en-US" w:eastAsia="zh-CN"/>
        </w:rPr>
        <w:t>评审与上报</w:t>
      </w:r>
      <w:bookmarkEnd w:id="12"/>
    </w:p>
    <w:p>
      <w:pPr>
        <w:pStyle w:val="10"/>
        <w:spacing w:line="360" w:lineRule="auto"/>
        <w:ind w:firstLine="480"/>
        <w:rPr>
          <w:rFonts w:hint="eastAsia"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2020年3月，该草案稿通过了我院科技委员会的评审，并按照陕西省市场监督管理局《陕西省市场监督管理局关于征集2020年陕西省地方标准制修订项目的通知》（陕市监标〔</w:t>
      </w:r>
      <w:r>
        <w:rPr>
          <w:rFonts w:hint="default" w:ascii="Times New Roman" w:hAnsi="Times New Roman" w:cs="Times New Roman"/>
          <w:kern w:val="2"/>
          <w:sz w:val="24"/>
          <w:szCs w:val="24"/>
          <w:lang w:val="en-US" w:eastAsia="zh-CN"/>
        </w:rPr>
        <w:t>2019〕22号</w:t>
      </w:r>
      <w:r>
        <w:rPr>
          <w:rFonts w:hint="eastAsia" w:ascii="Times New Roman" w:hAnsi="Times New Roman" w:cs="Times New Roman"/>
          <w:kern w:val="2"/>
          <w:sz w:val="24"/>
          <w:szCs w:val="24"/>
          <w:lang w:val="en-US" w:eastAsia="zh-CN"/>
        </w:rPr>
        <w:t>）文件要求，将草案稿及项目申请书上报陕西省市场监督管理局标准化处。</w:t>
      </w:r>
    </w:p>
    <w:p>
      <w:pPr>
        <w:numPr>
          <w:ilvl w:val="0"/>
          <w:numId w:val="1"/>
        </w:numPr>
        <w:bidi w:val="0"/>
        <w:ind w:left="0" w:leftChars="0" w:firstLine="560" w:firstLineChars="0"/>
        <w:outlineLvl w:val="1"/>
        <w:rPr>
          <w:rFonts w:hint="eastAsia" w:ascii="Times New Roman" w:hAnsi="Times New Roman" w:cs="Times New Roman"/>
          <w:b/>
          <w:bCs/>
          <w:sz w:val="24"/>
          <w:szCs w:val="24"/>
          <w:lang w:val="en-US" w:eastAsia="zh-CN"/>
        </w:rPr>
      </w:pPr>
      <w:bookmarkStart w:id="13" w:name="_Toc25056"/>
      <w:r>
        <w:rPr>
          <w:rFonts w:hint="eastAsia" w:ascii="Times New Roman" w:hAnsi="Times New Roman" w:cs="Times New Roman"/>
          <w:b/>
          <w:bCs/>
          <w:sz w:val="24"/>
          <w:szCs w:val="24"/>
          <w:lang w:val="en-US" w:eastAsia="zh-CN"/>
        </w:rPr>
        <w:t>标准立项</w:t>
      </w:r>
      <w:bookmarkEnd w:id="13"/>
    </w:p>
    <w:p>
      <w:pPr>
        <w:pStyle w:val="10"/>
        <w:spacing w:line="360" w:lineRule="auto"/>
        <w:ind w:firstLine="480"/>
        <w:rPr>
          <w:rFonts w:hint="eastAsia"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2020年6月，该草案稿通过了陕西省市场监督管理局的立项评审，在公开</w:t>
      </w:r>
      <w:r>
        <w:rPr>
          <w:rFonts w:hint="default" w:ascii="Times New Roman" w:hAnsi="Times New Roman" w:cs="Times New Roman"/>
          <w:kern w:val="2"/>
          <w:sz w:val="24"/>
          <w:szCs w:val="24"/>
          <w:lang w:val="en-US" w:eastAsia="zh-CN"/>
        </w:rPr>
        <w:t>征求意见和建议</w:t>
      </w:r>
      <w:r>
        <w:rPr>
          <w:rFonts w:hint="eastAsia" w:ascii="Times New Roman" w:hAnsi="Times New Roman" w:cs="Times New Roman"/>
          <w:kern w:val="2"/>
          <w:sz w:val="24"/>
          <w:szCs w:val="24"/>
          <w:lang w:val="en-US" w:eastAsia="zh-CN"/>
        </w:rPr>
        <w:t>后，正式立项。</w:t>
      </w:r>
    </w:p>
    <w:p>
      <w:pPr>
        <w:numPr>
          <w:ilvl w:val="0"/>
          <w:numId w:val="1"/>
        </w:numPr>
        <w:bidi w:val="0"/>
        <w:ind w:left="0" w:leftChars="0" w:firstLine="560" w:firstLineChars="0"/>
        <w:outlineLvl w:val="1"/>
        <w:rPr>
          <w:rFonts w:hint="eastAsia" w:ascii="Times New Roman" w:hAnsi="Times New Roman" w:cs="Times New Roman"/>
          <w:b/>
          <w:bCs/>
          <w:sz w:val="24"/>
          <w:szCs w:val="24"/>
          <w:lang w:val="en-US" w:eastAsia="zh-CN"/>
        </w:rPr>
      </w:pPr>
      <w:bookmarkStart w:id="14" w:name="_Toc24118"/>
      <w:r>
        <w:rPr>
          <w:rFonts w:hint="eastAsia" w:ascii="Times New Roman" w:hAnsi="Times New Roman" w:cs="Times New Roman"/>
          <w:b/>
          <w:bCs/>
          <w:sz w:val="24"/>
          <w:szCs w:val="24"/>
          <w:lang w:val="en-US" w:eastAsia="zh-CN"/>
        </w:rPr>
        <w:t>标准起草与修改</w:t>
      </w:r>
      <w:bookmarkEnd w:id="14"/>
    </w:p>
    <w:p>
      <w:pPr>
        <w:pStyle w:val="10"/>
        <w:spacing w:line="360" w:lineRule="auto"/>
        <w:ind w:firstLine="480"/>
        <w:rPr>
          <w:rFonts w:hint="eastAsia"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2020年9月——2021年3月，标准起草组开展调研，并与协作单位多次召开沟通会，结合前期标准立项工作会专家组的建议，多次对草案稿进行修改，形成了征求意见稿，并完成了编制说明。</w:t>
      </w:r>
    </w:p>
    <w:p>
      <w:pPr>
        <w:pStyle w:val="3"/>
        <w:spacing w:before="0" w:after="0" w:line="360" w:lineRule="auto"/>
        <w:ind w:firstLine="562" w:firstLineChars="200"/>
        <w:outlineLvl w:val="0"/>
        <w:rPr>
          <w:rFonts w:hint="eastAsia" w:ascii="Times New Roman" w:hAnsi="Times New Roman" w:cs="Times New Roman"/>
          <w:sz w:val="28"/>
          <w:szCs w:val="28"/>
          <w:lang w:val="en-US" w:eastAsia="zh-CN"/>
        </w:rPr>
      </w:pPr>
      <w:bookmarkStart w:id="15" w:name="_Toc5222"/>
      <w:r>
        <w:rPr>
          <w:rFonts w:hint="eastAsia" w:ascii="Times New Roman" w:hAnsi="Times New Roman" w:cs="Times New Roman"/>
          <w:sz w:val="28"/>
          <w:szCs w:val="28"/>
          <w:lang w:val="en-US" w:eastAsia="zh-CN"/>
        </w:rPr>
        <w:t>1.5起草组成员及任务分工</w:t>
      </w:r>
      <w:bookmarkEnd w:id="15"/>
    </w:p>
    <w:p>
      <w:pPr>
        <w:pStyle w:val="10"/>
        <w:spacing w:line="360" w:lineRule="auto"/>
        <w:ind w:firstLine="480"/>
        <w:rPr>
          <w:rFonts w:ascii="Times New Roman"/>
          <w:kern w:val="2"/>
          <w:sz w:val="24"/>
          <w:szCs w:val="24"/>
        </w:rPr>
      </w:pPr>
      <w:r>
        <w:rPr>
          <w:rFonts w:ascii="Times New Roman"/>
          <w:kern w:val="2"/>
          <w:sz w:val="24"/>
          <w:szCs w:val="24"/>
        </w:rPr>
        <w:t>本标准主要起草人</w:t>
      </w:r>
      <w:r>
        <w:rPr>
          <w:rFonts w:hint="eastAsia" w:ascii="Times New Roman"/>
          <w:kern w:val="2"/>
          <w:sz w:val="24"/>
          <w:szCs w:val="24"/>
        </w:rPr>
        <w:t>详见表1.</w:t>
      </w:r>
      <w:r>
        <w:rPr>
          <w:rFonts w:hint="eastAsia" w:ascii="Times New Roman"/>
          <w:kern w:val="2"/>
          <w:sz w:val="24"/>
          <w:szCs w:val="24"/>
          <w:lang w:val="en-US" w:eastAsia="zh-CN"/>
        </w:rPr>
        <w:t>5</w:t>
      </w:r>
      <w:r>
        <w:rPr>
          <w:rFonts w:hint="eastAsia" w:ascii="Times New Roman"/>
          <w:kern w:val="2"/>
          <w:sz w:val="24"/>
          <w:szCs w:val="24"/>
        </w:rPr>
        <w:t>-1</w:t>
      </w:r>
      <w:r>
        <w:rPr>
          <w:rFonts w:ascii="Times New Roman"/>
          <w:kern w:val="2"/>
          <w:sz w:val="24"/>
          <w:szCs w:val="24"/>
        </w:rPr>
        <w:t>。</w:t>
      </w:r>
    </w:p>
    <w:p>
      <w:pPr>
        <w:ind w:firstLine="420"/>
        <w:jc w:val="center"/>
        <w:rPr>
          <w:b/>
        </w:rPr>
      </w:pPr>
      <w:r>
        <w:rPr>
          <w:b/>
        </w:rPr>
        <w:t>表1</w:t>
      </w:r>
      <w:r>
        <w:rPr>
          <w:rFonts w:hint="eastAsia"/>
          <w:b/>
          <w:lang w:val="en-US" w:eastAsia="zh-CN"/>
        </w:rPr>
        <w:t>.5-</w:t>
      </w:r>
      <w:r>
        <w:rPr>
          <w:b/>
        </w:rPr>
        <w:t>1主要起草人及</w:t>
      </w:r>
      <w:r>
        <w:rPr>
          <w:rFonts w:hint="eastAsia"/>
          <w:b/>
        </w:rPr>
        <w:t>分工</w:t>
      </w:r>
    </w:p>
    <w:tbl>
      <w:tblPr>
        <w:tblStyle w:val="7"/>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64"/>
        <w:gridCol w:w="287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871" w:type="dxa"/>
            <w:vAlign w:val="center"/>
          </w:tcPr>
          <w:p>
            <w:pPr>
              <w:jc w:val="center"/>
              <w:rPr>
                <w:b/>
                <w:sz w:val="18"/>
                <w:szCs w:val="18"/>
              </w:rPr>
            </w:pPr>
            <w:r>
              <w:rPr>
                <w:b/>
                <w:sz w:val="18"/>
                <w:szCs w:val="18"/>
              </w:rPr>
              <w:t>姓名</w:t>
            </w:r>
          </w:p>
        </w:tc>
        <w:tc>
          <w:tcPr>
            <w:tcW w:w="1364" w:type="dxa"/>
            <w:vAlign w:val="center"/>
          </w:tcPr>
          <w:p>
            <w:pPr>
              <w:jc w:val="center"/>
              <w:rPr>
                <w:b/>
                <w:sz w:val="18"/>
                <w:szCs w:val="18"/>
              </w:rPr>
            </w:pPr>
            <w:r>
              <w:rPr>
                <w:b/>
                <w:sz w:val="18"/>
                <w:szCs w:val="18"/>
              </w:rPr>
              <w:t>职称</w:t>
            </w:r>
          </w:p>
        </w:tc>
        <w:tc>
          <w:tcPr>
            <w:tcW w:w="2870" w:type="dxa"/>
            <w:vAlign w:val="center"/>
          </w:tcPr>
          <w:p>
            <w:pPr>
              <w:jc w:val="center"/>
              <w:rPr>
                <w:b/>
                <w:sz w:val="18"/>
                <w:szCs w:val="18"/>
              </w:rPr>
            </w:pPr>
            <w:r>
              <w:rPr>
                <w:b/>
                <w:sz w:val="18"/>
                <w:szCs w:val="18"/>
              </w:rPr>
              <w:t>工作单位</w:t>
            </w:r>
          </w:p>
        </w:tc>
        <w:tc>
          <w:tcPr>
            <w:tcW w:w="3685" w:type="dxa"/>
            <w:vAlign w:val="center"/>
          </w:tcPr>
          <w:p>
            <w:pPr>
              <w:jc w:val="center"/>
              <w:rPr>
                <w:b/>
                <w:sz w:val="18"/>
                <w:szCs w:val="18"/>
              </w:rPr>
            </w:pPr>
            <w:r>
              <w:rPr>
                <w:b/>
                <w:sz w:val="18"/>
                <w:szCs w:val="18"/>
              </w:rPr>
              <w:t>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871" w:type="dxa"/>
            <w:vAlign w:val="center"/>
          </w:tcPr>
          <w:p>
            <w:pPr>
              <w:snapToGrid w:val="0"/>
              <w:jc w:val="center"/>
              <w:rPr>
                <w:rFonts w:hint="eastAsia" w:eastAsia="宋体"/>
                <w:sz w:val="18"/>
                <w:szCs w:val="18"/>
                <w:lang w:eastAsia="zh-CN"/>
              </w:rPr>
            </w:pPr>
            <w:r>
              <w:rPr>
                <w:rFonts w:hint="eastAsia"/>
                <w:sz w:val="18"/>
                <w:szCs w:val="18"/>
                <w:lang w:eastAsia="zh-CN"/>
              </w:rPr>
              <w:t>常国强</w:t>
            </w:r>
          </w:p>
        </w:tc>
        <w:tc>
          <w:tcPr>
            <w:tcW w:w="1364" w:type="dxa"/>
            <w:vAlign w:val="center"/>
          </w:tcPr>
          <w:p>
            <w:pPr>
              <w:snapToGrid w:val="0"/>
              <w:jc w:val="center"/>
              <w:rPr>
                <w:sz w:val="18"/>
                <w:szCs w:val="18"/>
              </w:rPr>
            </w:pPr>
            <w:r>
              <w:rPr>
                <w:rFonts w:hint="eastAsia"/>
                <w:sz w:val="18"/>
                <w:szCs w:val="18"/>
              </w:rPr>
              <w:t>高级工程师</w:t>
            </w:r>
          </w:p>
        </w:tc>
        <w:tc>
          <w:tcPr>
            <w:tcW w:w="2870" w:type="dxa"/>
            <w:vAlign w:val="center"/>
          </w:tcPr>
          <w:p>
            <w:pPr>
              <w:snapToGrid w:val="0"/>
              <w:jc w:val="center"/>
              <w:rPr>
                <w:sz w:val="18"/>
                <w:szCs w:val="18"/>
              </w:rPr>
            </w:pPr>
            <w:r>
              <w:rPr>
                <w:rFonts w:hint="eastAsia"/>
                <w:sz w:val="18"/>
                <w:szCs w:val="18"/>
              </w:rPr>
              <w:t>陕西省特种设备检验检测研究院</w:t>
            </w:r>
          </w:p>
        </w:tc>
        <w:tc>
          <w:tcPr>
            <w:tcW w:w="3685" w:type="dxa"/>
            <w:vAlign w:val="center"/>
          </w:tcPr>
          <w:p>
            <w:pPr>
              <w:snapToGrid w:val="0"/>
              <w:jc w:val="left"/>
              <w:rPr>
                <w:sz w:val="18"/>
                <w:szCs w:val="18"/>
              </w:rPr>
            </w:pPr>
            <w:r>
              <w:rPr>
                <w:rFonts w:hint="eastAsia"/>
                <w:sz w:val="18"/>
                <w:szCs w:val="18"/>
              </w:rPr>
              <w:t>起草小组</w:t>
            </w:r>
            <w:r>
              <w:rPr>
                <w:rFonts w:hint="eastAsia"/>
                <w:sz w:val="18"/>
                <w:szCs w:val="18"/>
                <w:lang w:eastAsia="zh-CN"/>
              </w:rPr>
              <w:t>负责人，负责标准起草的统筹规划，负责起草小组的人员管理。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871" w:type="dxa"/>
            <w:vAlign w:val="center"/>
          </w:tcPr>
          <w:p>
            <w:pPr>
              <w:snapToGrid w:val="0"/>
              <w:jc w:val="center"/>
              <w:rPr>
                <w:rFonts w:hint="eastAsia" w:eastAsia="宋体"/>
                <w:sz w:val="18"/>
                <w:szCs w:val="18"/>
                <w:lang w:eastAsia="zh-CN"/>
              </w:rPr>
            </w:pPr>
            <w:r>
              <w:rPr>
                <w:rFonts w:hint="eastAsia"/>
                <w:sz w:val="18"/>
                <w:szCs w:val="18"/>
                <w:lang w:eastAsia="zh-CN"/>
              </w:rPr>
              <w:t>孙刚</w:t>
            </w:r>
          </w:p>
        </w:tc>
        <w:tc>
          <w:tcPr>
            <w:tcW w:w="1364" w:type="dxa"/>
            <w:vAlign w:val="center"/>
          </w:tcPr>
          <w:p>
            <w:pPr>
              <w:snapToGrid w:val="0"/>
              <w:jc w:val="center"/>
              <w:rPr>
                <w:sz w:val="18"/>
                <w:szCs w:val="18"/>
              </w:rPr>
            </w:pPr>
            <w:r>
              <w:rPr>
                <w:rFonts w:hint="eastAsia"/>
                <w:sz w:val="18"/>
                <w:szCs w:val="18"/>
              </w:rPr>
              <w:t>高级工程师</w:t>
            </w:r>
          </w:p>
        </w:tc>
        <w:tc>
          <w:tcPr>
            <w:tcW w:w="2870" w:type="dxa"/>
            <w:vAlign w:val="center"/>
          </w:tcPr>
          <w:p>
            <w:pPr>
              <w:snapToGrid w:val="0"/>
              <w:jc w:val="center"/>
              <w:rPr>
                <w:sz w:val="18"/>
                <w:szCs w:val="18"/>
              </w:rPr>
            </w:pPr>
            <w:r>
              <w:rPr>
                <w:rFonts w:hint="eastAsia"/>
                <w:sz w:val="18"/>
                <w:szCs w:val="18"/>
              </w:rPr>
              <w:t>陕西省特种设备检验检测研究院</w:t>
            </w:r>
          </w:p>
        </w:tc>
        <w:tc>
          <w:tcPr>
            <w:tcW w:w="3685" w:type="dxa"/>
            <w:vAlign w:val="center"/>
          </w:tcPr>
          <w:p>
            <w:pPr>
              <w:snapToGrid w:val="0"/>
              <w:jc w:val="left"/>
              <w:rPr>
                <w:sz w:val="18"/>
                <w:szCs w:val="18"/>
              </w:rPr>
            </w:pPr>
            <w:r>
              <w:rPr>
                <w:rFonts w:hint="eastAsia"/>
                <w:sz w:val="18"/>
                <w:szCs w:val="18"/>
              </w:rPr>
              <w:t>起草小组</w:t>
            </w:r>
            <w:r>
              <w:rPr>
                <w:rFonts w:hint="eastAsia"/>
                <w:sz w:val="18"/>
                <w:szCs w:val="18"/>
                <w:lang w:eastAsia="zh-CN"/>
              </w:rPr>
              <w:t>组长，负责</w:t>
            </w:r>
            <w:r>
              <w:rPr>
                <w:rFonts w:hint="eastAsia"/>
                <w:sz w:val="18"/>
                <w:szCs w:val="18"/>
              </w:rPr>
              <w:t>搭建标准结构框架</w:t>
            </w:r>
            <w:r>
              <w:rPr>
                <w:rFonts w:hint="eastAsia"/>
                <w:sz w:val="18"/>
                <w:szCs w:val="18"/>
                <w:lang w:eastAsia="zh-CN"/>
              </w:rPr>
              <w:t>，以及与协作单位的联络沟通，负责项目的答辩工作，</w:t>
            </w:r>
            <w:r>
              <w:rPr>
                <w:rFonts w:hint="eastAsia"/>
                <w:sz w:val="18"/>
                <w:szCs w:val="18"/>
              </w:rPr>
              <w:t>负责标准内容的校对及整体完善</w:t>
            </w:r>
            <w:r>
              <w:rPr>
                <w:rFonts w:hint="eastAsia"/>
                <w:sz w:val="18"/>
                <w:szCs w:val="18"/>
                <w:lang w:eastAsia="zh-CN"/>
              </w:rPr>
              <w:t>。</w:t>
            </w: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871" w:type="dxa"/>
            <w:vAlign w:val="center"/>
          </w:tcPr>
          <w:p>
            <w:pPr>
              <w:snapToGrid w:val="0"/>
              <w:jc w:val="center"/>
              <w:rPr>
                <w:rFonts w:hint="eastAsia" w:eastAsia="宋体"/>
                <w:sz w:val="18"/>
                <w:szCs w:val="18"/>
                <w:lang w:eastAsia="zh-CN"/>
              </w:rPr>
            </w:pPr>
            <w:r>
              <w:rPr>
                <w:rFonts w:hint="eastAsia"/>
                <w:sz w:val="18"/>
                <w:szCs w:val="18"/>
                <w:lang w:eastAsia="zh-CN"/>
              </w:rPr>
              <w:t>王亮</w:t>
            </w:r>
          </w:p>
        </w:tc>
        <w:tc>
          <w:tcPr>
            <w:tcW w:w="1364" w:type="dxa"/>
            <w:vAlign w:val="center"/>
          </w:tcPr>
          <w:p>
            <w:pPr>
              <w:snapToGrid w:val="0"/>
              <w:jc w:val="center"/>
              <w:rPr>
                <w:sz w:val="18"/>
                <w:szCs w:val="18"/>
              </w:rPr>
            </w:pPr>
            <w:r>
              <w:rPr>
                <w:rFonts w:hint="eastAsia"/>
                <w:sz w:val="18"/>
                <w:szCs w:val="18"/>
              </w:rPr>
              <w:t>工程师</w:t>
            </w:r>
          </w:p>
        </w:tc>
        <w:tc>
          <w:tcPr>
            <w:tcW w:w="2870" w:type="dxa"/>
            <w:vAlign w:val="center"/>
          </w:tcPr>
          <w:p>
            <w:pPr>
              <w:snapToGrid w:val="0"/>
              <w:jc w:val="center"/>
              <w:rPr>
                <w:sz w:val="18"/>
                <w:szCs w:val="18"/>
              </w:rPr>
            </w:pPr>
            <w:r>
              <w:rPr>
                <w:rFonts w:hint="eastAsia"/>
                <w:sz w:val="18"/>
                <w:szCs w:val="18"/>
              </w:rPr>
              <w:t>陕西省特种设备检验检测研究院</w:t>
            </w:r>
          </w:p>
        </w:tc>
        <w:tc>
          <w:tcPr>
            <w:tcW w:w="3685" w:type="dxa"/>
            <w:vAlign w:val="center"/>
          </w:tcPr>
          <w:p>
            <w:pPr>
              <w:snapToGrid w:val="0"/>
              <w:jc w:val="left"/>
              <w:rPr>
                <w:rFonts w:hint="eastAsia" w:eastAsia="宋体"/>
                <w:sz w:val="18"/>
                <w:szCs w:val="18"/>
                <w:lang w:eastAsia="zh-CN"/>
              </w:rPr>
            </w:pPr>
            <w:r>
              <w:rPr>
                <w:rFonts w:hint="eastAsia"/>
                <w:sz w:val="18"/>
                <w:szCs w:val="18"/>
              </w:rPr>
              <w:t>起草小组</w:t>
            </w:r>
            <w:r>
              <w:rPr>
                <w:rFonts w:hint="eastAsia"/>
                <w:sz w:val="18"/>
                <w:szCs w:val="18"/>
                <w:lang w:eastAsia="zh-CN"/>
              </w:rPr>
              <w:t>组员，</w:t>
            </w:r>
            <w:r>
              <w:rPr>
                <w:rFonts w:hint="eastAsia"/>
                <w:sz w:val="18"/>
                <w:szCs w:val="18"/>
              </w:rPr>
              <w:t>负责编制</w:t>
            </w:r>
            <w:r>
              <w:rPr>
                <w:rFonts w:hint="eastAsia"/>
                <w:sz w:val="18"/>
                <w:szCs w:val="18"/>
                <w:lang w:eastAsia="zh-CN"/>
              </w:rPr>
              <w:t>固定平台搬运车附录的检验内容、检验方法、判定规则、检验报告格式以及检验备忘录等。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871" w:type="dxa"/>
            <w:vAlign w:val="center"/>
          </w:tcPr>
          <w:p>
            <w:pPr>
              <w:snapToGrid w:val="0"/>
              <w:jc w:val="center"/>
              <w:rPr>
                <w:sz w:val="18"/>
                <w:szCs w:val="18"/>
              </w:rPr>
            </w:pPr>
            <w:r>
              <w:rPr>
                <w:rFonts w:hint="eastAsia"/>
                <w:sz w:val="18"/>
                <w:szCs w:val="18"/>
                <w:lang w:eastAsia="zh-CN"/>
              </w:rPr>
              <w:t>安昆</w:t>
            </w:r>
            <w:r>
              <w:rPr>
                <w:rFonts w:hint="eastAsia"/>
                <w:sz w:val="18"/>
                <w:szCs w:val="18"/>
              </w:rPr>
              <w:t xml:space="preserve">   </w:t>
            </w:r>
          </w:p>
        </w:tc>
        <w:tc>
          <w:tcPr>
            <w:tcW w:w="1364" w:type="dxa"/>
            <w:vAlign w:val="center"/>
          </w:tcPr>
          <w:p>
            <w:pPr>
              <w:snapToGrid w:val="0"/>
              <w:jc w:val="center"/>
              <w:rPr>
                <w:color w:val="FF0000"/>
                <w:sz w:val="18"/>
                <w:szCs w:val="18"/>
              </w:rPr>
            </w:pPr>
            <w:r>
              <w:rPr>
                <w:rFonts w:hint="eastAsia"/>
                <w:sz w:val="18"/>
                <w:szCs w:val="18"/>
              </w:rPr>
              <w:t>工程师</w:t>
            </w:r>
            <w:r>
              <w:rPr>
                <w:rFonts w:hint="eastAsia"/>
                <w:color w:val="FF0000"/>
                <w:sz w:val="18"/>
                <w:szCs w:val="18"/>
              </w:rPr>
              <w:t xml:space="preserve"> </w:t>
            </w:r>
          </w:p>
        </w:tc>
        <w:tc>
          <w:tcPr>
            <w:tcW w:w="2870" w:type="dxa"/>
            <w:vAlign w:val="center"/>
          </w:tcPr>
          <w:p>
            <w:pPr>
              <w:bidi w:val="0"/>
              <w:rPr>
                <w:rFonts w:hint="eastAsia" w:ascii="Times New Roman" w:eastAsia="宋体"/>
                <w:kern w:val="2"/>
                <w:szCs w:val="18"/>
                <w:lang w:val="en-US" w:eastAsia="zh-CN"/>
              </w:rPr>
            </w:pPr>
            <w:r>
              <w:rPr>
                <w:rFonts w:hint="eastAsia"/>
                <w:kern w:val="2"/>
                <w:szCs w:val="18"/>
                <w:lang w:val="en-US" w:eastAsia="zh-CN"/>
              </w:rPr>
              <w:t xml:space="preserve"> </w:t>
            </w:r>
            <w:r>
              <w:rPr>
                <w:rFonts w:hint="eastAsia"/>
                <w:kern w:val="2"/>
                <w:sz w:val="18"/>
                <w:szCs w:val="18"/>
                <w:lang w:val="en-US" w:eastAsia="zh-CN"/>
              </w:rPr>
              <w:t>陕西省</w:t>
            </w:r>
            <w:r>
              <w:rPr>
                <w:rFonts w:hint="eastAsia"/>
                <w:sz w:val="18"/>
                <w:szCs w:val="18"/>
              </w:rPr>
              <w:t>特种设备检验检测研究院</w:t>
            </w:r>
          </w:p>
        </w:tc>
        <w:tc>
          <w:tcPr>
            <w:tcW w:w="3685" w:type="dxa"/>
            <w:vAlign w:val="center"/>
          </w:tcPr>
          <w:p>
            <w:pPr>
              <w:snapToGrid w:val="0"/>
              <w:jc w:val="left"/>
              <w:rPr>
                <w:rFonts w:hint="eastAsia" w:eastAsia="宋体"/>
                <w:sz w:val="18"/>
                <w:szCs w:val="18"/>
                <w:lang w:eastAsia="zh-CN"/>
              </w:rPr>
            </w:pPr>
            <w:r>
              <w:rPr>
                <w:rFonts w:hint="eastAsia"/>
                <w:sz w:val="18"/>
                <w:szCs w:val="18"/>
              </w:rPr>
              <w:t>起草小组</w:t>
            </w:r>
            <w:r>
              <w:rPr>
                <w:rFonts w:hint="eastAsia"/>
                <w:sz w:val="18"/>
                <w:szCs w:val="18"/>
                <w:lang w:eastAsia="zh-CN"/>
              </w:rPr>
              <w:t>组员，</w:t>
            </w:r>
            <w:r>
              <w:rPr>
                <w:rFonts w:hint="eastAsia"/>
                <w:sz w:val="18"/>
                <w:szCs w:val="18"/>
              </w:rPr>
              <w:t>负责编制</w:t>
            </w:r>
            <w:r>
              <w:rPr>
                <w:rFonts w:hint="eastAsia"/>
                <w:sz w:val="18"/>
                <w:szCs w:val="18"/>
                <w:lang w:eastAsia="zh-CN"/>
              </w:rPr>
              <w:t>固定平台搬运车</w:t>
            </w:r>
            <w:r>
              <w:rPr>
                <w:rFonts w:hint="eastAsia"/>
                <w:sz w:val="18"/>
                <w:szCs w:val="18"/>
              </w:rPr>
              <w:t>项目</w:t>
            </w:r>
            <w:r>
              <w:rPr>
                <w:rFonts w:hint="eastAsia"/>
                <w:sz w:val="18"/>
                <w:szCs w:val="18"/>
                <w:lang w:eastAsia="zh-CN"/>
              </w:rPr>
              <w:t>的</w:t>
            </w:r>
            <w:r>
              <w:rPr>
                <w:rFonts w:hint="eastAsia"/>
                <w:sz w:val="18"/>
                <w:szCs w:val="18"/>
              </w:rPr>
              <w:t>申请书及编制说明</w:t>
            </w:r>
            <w:r>
              <w:rPr>
                <w:rFonts w:hint="eastAsia"/>
                <w:sz w:val="18"/>
                <w:szCs w:val="18"/>
                <w:lang w:eastAsia="zh-CN"/>
              </w:rPr>
              <w:t>，负责编制检验条件、技术资料要求、检验仪器要求等。</w:t>
            </w:r>
          </w:p>
        </w:tc>
      </w:tr>
    </w:tbl>
    <w:p>
      <w:pPr>
        <w:pStyle w:val="2"/>
        <w:keepNext/>
        <w:keepLines/>
        <w:pageBreakBefore w:val="0"/>
        <w:widowControl w:val="0"/>
        <w:numPr>
          <w:ilvl w:val="0"/>
          <w:numId w:val="2"/>
        </w:numPr>
        <w:kinsoku/>
        <w:wordWrap/>
        <w:overflowPunct/>
        <w:topLinePunct w:val="0"/>
        <w:autoSpaceDE/>
        <w:autoSpaceDN/>
        <w:bidi w:val="0"/>
        <w:adjustRightInd/>
        <w:snapToGrid/>
        <w:spacing w:before="157" w:beforeLines="50" w:after="0" w:line="360" w:lineRule="auto"/>
        <w:ind w:firstLine="602" w:firstLineChars="200"/>
        <w:textAlignment w:val="auto"/>
        <w:rPr>
          <w:rFonts w:hint="eastAsia" w:ascii="Times New Roman" w:hAnsi="Times New Roman" w:cs="Times New Roman"/>
          <w:sz w:val="30"/>
          <w:szCs w:val="30"/>
        </w:rPr>
      </w:pPr>
      <w:bookmarkStart w:id="16" w:name="_Toc27761"/>
      <w:r>
        <w:rPr>
          <w:rFonts w:hint="eastAsia" w:ascii="Times New Roman" w:hAnsi="Times New Roman" w:cs="Times New Roman"/>
          <w:sz w:val="30"/>
          <w:szCs w:val="30"/>
        </w:rPr>
        <w:t>标准编制原则和主要内容</w:t>
      </w:r>
      <w:bookmarkEnd w:id="16"/>
    </w:p>
    <w:p>
      <w:pPr>
        <w:pStyle w:val="3"/>
        <w:spacing w:before="0" w:after="0" w:line="360" w:lineRule="auto"/>
        <w:ind w:firstLine="562" w:firstLineChars="200"/>
        <w:outlineLvl w:val="0"/>
        <w:rPr>
          <w:rFonts w:hint="eastAsia" w:ascii="Times New Roman" w:hAnsi="Times New Roman" w:cs="Times New Roman"/>
          <w:sz w:val="28"/>
          <w:szCs w:val="28"/>
          <w:lang w:val="en-US" w:eastAsia="zh-CN"/>
        </w:rPr>
      </w:pPr>
      <w:bookmarkStart w:id="17" w:name="_Toc16364"/>
      <w:r>
        <w:rPr>
          <w:rFonts w:hint="eastAsia" w:ascii="Times New Roman" w:hAnsi="Times New Roman" w:cs="Times New Roman"/>
          <w:sz w:val="28"/>
          <w:szCs w:val="28"/>
          <w:lang w:val="en-US" w:eastAsia="zh-CN"/>
        </w:rPr>
        <w:t>2.1标准编制原则</w:t>
      </w:r>
      <w:bookmarkEnd w:id="17"/>
    </w:p>
    <w:p>
      <w:pPr>
        <w:pStyle w:val="10"/>
        <w:spacing w:line="360" w:lineRule="auto"/>
        <w:ind w:firstLine="480"/>
        <w:rPr>
          <w:rFonts w:ascii="Times New Roman"/>
          <w:kern w:val="2"/>
          <w:sz w:val="24"/>
          <w:szCs w:val="24"/>
        </w:rPr>
      </w:pPr>
      <w:r>
        <w:rPr>
          <w:rFonts w:hint="eastAsia" w:ascii="Times New Roman"/>
          <w:kern w:val="2"/>
          <w:sz w:val="24"/>
          <w:szCs w:val="24"/>
        </w:rPr>
        <w:t>（1）科学性</w:t>
      </w:r>
    </w:p>
    <w:p>
      <w:pPr>
        <w:pStyle w:val="10"/>
        <w:spacing w:line="360" w:lineRule="auto"/>
        <w:ind w:firstLine="480"/>
        <w:rPr>
          <w:rFonts w:ascii="Times New Roman"/>
          <w:kern w:val="2"/>
          <w:sz w:val="24"/>
          <w:szCs w:val="24"/>
        </w:rPr>
      </w:pPr>
      <w:r>
        <w:rPr>
          <w:rFonts w:hint="eastAsia" w:ascii="Times New Roman"/>
          <w:kern w:val="2"/>
          <w:sz w:val="24"/>
          <w:szCs w:val="24"/>
        </w:rPr>
        <w:t>该标准的编制结合</w:t>
      </w:r>
      <w:r>
        <w:rPr>
          <w:rFonts w:hint="eastAsia" w:ascii="Times New Roman"/>
          <w:kern w:val="2"/>
          <w:sz w:val="24"/>
          <w:szCs w:val="24"/>
          <w:lang w:eastAsia="zh-CN"/>
        </w:rPr>
        <w:t>固定平台搬运车</w:t>
      </w:r>
      <w:r>
        <w:rPr>
          <w:rFonts w:hint="eastAsia" w:ascii="Times New Roman"/>
          <w:kern w:val="2"/>
          <w:sz w:val="24"/>
          <w:szCs w:val="24"/>
        </w:rPr>
        <w:t>的特点，充分参考了相关国家标准、地方标准，广泛调研并听取了</w:t>
      </w:r>
      <w:r>
        <w:rPr>
          <w:rFonts w:hint="eastAsia" w:ascii="Times New Roman"/>
          <w:kern w:val="2"/>
          <w:sz w:val="24"/>
          <w:szCs w:val="24"/>
          <w:lang w:eastAsia="zh-CN"/>
        </w:rPr>
        <w:t>固定平台搬运车相关制造单位以及我省部分使用单位的生产使用</w:t>
      </w:r>
      <w:r>
        <w:rPr>
          <w:rFonts w:hint="eastAsia" w:ascii="Times New Roman"/>
          <w:kern w:val="2"/>
          <w:sz w:val="24"/>
          <w:szCs w:val="24"/>
        </w:rPr>
        <w:t>情况及建议，结合</w:t>
      </w:r>
      <w:r>
        <w:rPr>
          <w:rFonts w:hint="eastAsia" w:ascii="Times New Roman"/>
          <w:kern w:val="2"/>
          <w:sz w:val="24"/>
          <w:szCs w:val="24"/>
          <w:lang w:eastAsia="zh-CN"/>
        </w:rPr>
        <w:t>固定平台搬运车</w:t>
      </w:r>
      <w:r>
        <w:rPr>
          <w:rFonts w:hint="eastAsia" w:ascii="Times New Roman"/>
          <w:kern w:val="2"/>
          <w:sz w:val="24"/>
          <w:szCs w:val="24"/>
        </w:rPr>
        <w:t>检验的实际需要，由来自从事</w:t>
      </w:r>
      <w:r>
        <w:rPr>
          <w:rFonts w:hint="eastAsia" w:ascii="Times New Roman"/>
          <w:kern w:val="2"/>
          <w:sz w:val="24"/>
          <w:szCs w:val="24"/>
          <w:lang w:eastAsia="zh-CN"/>
        </w:rPr>
        <w:t>固定平台搬运车</w:t>
      </w:r>
      <w:r>
        <w:rPr>
          <w:rFonts w:hint="eastAsia" w:ascii="Times New Roman"/>
          <w:kern w:val="2"/>
          <w:sz w:val="24"/>
          <w:szCs w:val="24"/>
        </w:rPr>
        <w:t>检验、制造、使用单位的人员进行制</w:t>
      </w:r>
      <w:r>
        <w:rPr>
          <w:rFonts w:hint="eastAsia" w:ascii="Times New Roman"/>
          <w:kern w:val="2"/>
          <w:sz w:val="24"/>
          <w:szCs w:val="24"/>
          <w:lang w:eastAsia="zh-CN"/>
        </w:rPr>
        <w:t>定</w:t>
      </w:r>
      <w:r>
        <w:rPr>
          <w:rFonts w:hint="eastAsia" w:ascii="Times New Roman"/>
          <w:kern w:val="2"/>
          <w:sz w:val="24"/>
          <w:szCs w:val="24"/>
        </w:rPr>
        <w:t>，形成了较为科学的地方标准。</w:t>
      </w:r>
    </w:p>
    <w:p>
      <w:pPr>
        <w:pStyle w:val="10"/>
        <w:spacing w:line="360" w:lineRule="auto"/>
        <w:ind w:firstLine="480"/>
        <w:rPr>
          <w:rFonts w:ascii="Times New Roman"/>
          <w:kern w:val="2"/>
          <w:sz w:val="24"/>
          <w:szCs w:val="24"/>
        </w:rPr>
      </w:pPr>
      <w:r>
        <w:rPr>
          <w:rFonts w:hint="eastAsia" w:ascii="Times New Roman"/>
          <w:kern w:val="2"/>
          <w:sz w:val="24"/>
          <w:szCs w:val="24"/>
        </w:rPr>
        <w:t>（2）适用性</w:t>
      </w:r>
    </w:p>
    <w:p>
      <w:pPr>
        <w:pStyle w:val="10"/>
        <w:spacing w:line="360" w:lineRule="auto"/>
        <w:ind w:firstLine="0" w:firstLineChars="0"/>
        <w:rPr>
          <w:rFonts w:ascii="Times New Roman"/>
          <w:kern w:val="2"/>
          <w:sz w:val="24"/>
          <w:szCs w:val="24"/>
        </w:rPr>
      </w:pPr>
      <w:r>
        <w:rPr>
          <w:rFonts w:hint="eastAsia" w:ascii="Times New Roman"/>
          <w:kern w:val="2"/>
          <w:sz w:val="24"/>
          <w:szCs w:val="24"/>
        </w:rPr>
        <w:t xml:space="preserve">    针对该标准的适用范围及内容，充分了解、分析了我省</w:t>
      </w:r>
      <w:r>
        <w:rPr>
          <w:rFonts w:hint="eastAsia" w:ascii="Times New Roman"/>
          <w:kern w:val="2"/>
          <w:sz w:val="24"/>
          <w:szCs w:val="24"/>
          <w:lang w:eastAsia="zh-CN"/>
        </w:rPr>
        <w:t>固定平台搬运车</w:t>
      </w:r>
      <w:r>
        <w:rPr>
          <w:rFonts w:hint="eastAsia" w:ascii="Times New Roman"/>
          <w:kern w:val="2"/>
          <w:sz w:val="24"/>
          <w:szCs w:val="24"/>
        </w:rPr>
        <w:t>的使用情况，力求标准通俗易懂、具有可操作性，保证标准在实际应用上的适用性。</w:t>
      </w:r>
    </w:p>
    <w:p>
      <w:pPr>
        <w:pStyle w:val="3"/>
        <w:spacing w:before="0" w:after="0" w:line="360" w:lineRule="auto"/>
        <w:ind w:firstLine="562" w:firstLineChars="200"/>
        <w:outlineLvl w:val="0"/>
        <w:rPr>
          <w:rFonts w:hint="eastAsia" w:ascii="Times New Roman" w:hAnsi="Times New Roman" w:cs="Times New Roman"/>
          <w:sz w:val="28"/>
          <w:szCs w:val="28"/>
          <w:lang w:val="en-US" w:eastAsia="zh-CN"/>
        </w:rPr>
      </w:pPr>
      <w:bookmarkStart w:id="18" w:name="_Toc4184"/>
      <w:r>
        <w:rPr>
          <w:rFonts w:hint="eastAsia" w:ascii="Times New Roman" w:hAnsi="Times New Roman" w:cs="Times New Roman"/>
          <w:sz w:val="28"/>
          <w:szCs w:val="28"/>
          <w:lang w:val="en-US" w:eastAsia="zh-CN"/>
        </w:rPr>
        <w:t>2.2标准主要内容</w:t>
      </w:r>
      <w:bookmarkEnd w:id="18"/>
    </w:p>
    <w:p>
      <w:pPr>
        <w:pStyle w:val="10"/>
        <w:spacing w:line="360" w:lineRule="auto"/>
        <w:ind w:firstLine="480"/>
        <w:rPr>
          <w:rFonts w:hint="eastAsia" w:ascii="Times New Roman" w:hAnsi="Times New Roman" w:cs="Times New Roman"/>
          <w:kern w:val="2"/>
          <w:sz w:val="24"/>
          <w:szCs w:val="24"/>
        </w:rPr>
      </w:pPr>
      <w:r>
        <w:rPr>
          <w:rFonts w:hint="eastAsia" w:ascii="Times New Roman" w:hAnsi="Times New Roman" w:cs="Times New Roman"/>
          <w:kern w:val="2"/>
          <w:sz w:val="24"/>
          <w:szCs w:val="24"/>
        </w:rPr>
        <w:t>本标准正文分为</w:t>
      </w:r>
      <w:r>
        <w:rPr>
          <w:rFonts w:hint="eastAsia" w:ascii="Times New Roman" w:hAnsi="Times New Roman" w:cs="Times New Roman"/>
          <w:kern w:val="2"/>
          <w:sz w:val="24"/>
          <w:szCs w:val="24"/>
          <w:lang w:eastAsia="zh-CN"/>
        </w:rPr>
        <w:t>七节</w:t>
      </w:r>
      <w:r>
        <w:rPr>
          <w:rFonts w:hint="eastAsia" w:ascii="Times New Roman" w:hAnsi="Times New Roman" w:cs="Times New Roman"/>
          <w:kern w:val="2"/>
          <w:sz w:val="24"/>
          <w:szCs w:val="24"/>
        </w:rPr>
        <w:t>，三个</w:t>
      </w:r>
      <w:r>
        <w:rPr>
          <w:rFonts w:hint="eastAsia" w:ascii="Times New Roman" w:hAnsi="Times New Roman" w:cs="Times New Roman"/>
          <w:kern w:val="2"/>
          <w:sz w:val="24"/>
          <w:szCs w:val="24"/>
          <w:lang w:eastAsia="zh-CN"/>
        </w:rPr>
        <w:t>规范性</w:t>
      </w:r>
      <w:r>
        <w:rPr>
          <w:rFonts w:hint="eastAsia" w:ascii="Times New Roman" w:hAnsi="Times New Roman" w:cs="Times New Roman"/>
          <w:kern w:val="2"/>
          <w:sz w:val="24"/>
          <w:szCs w:val="24"/>
        </w:rPr>
        <w:t>附录。标准的详细结构为：</w:t>
      </w:r>
    </w:p>
    <w:p>
      <w:pPr>
        <w:pStyle w:val="10"/>
        <w:spacing w:line="360" w:lineRule="auto"/>
        <w:ind w:firstLine="480"/>
        <w:rPr>
          <w:rFonts w:ascii="Times New Roman"/>
          <w:kern w:val="2"/>
          <w:sz w:val="24"/>
          <w:szCs w:val="24"/>
        </w:rPr>
      </w:pPr>
      <w:r>
        <w:rPr>
          <w:rFonts w:hint="eastAsia" w:ascii="Times New Roman" w:hAnsi="Times New Roman" w:cs="Times New Roman"/>
          <w:kern w:val="2"/>
          <w:sz w:val="24"/>
          <w:szCs w:val="24"/>
          <w:lang w:eastAsia="zh-CN"/>
        </w:rPr>
        <w:t>第一节：范围。</w:t>
      </w:r>
      <w:r>
        <w:rPr>
          <w:rFonts w:hint="eastAsia" w:ascii="Times New Roman"/>
          <w:kern w:val="2"/>
          <w:sz w:val="24"/>
          <w:szCs w:val="24"/>
        </w:rPr>
        <w:t>规定了该标准的包含的主要内容，并给出标准的适用范围。</w:t>
      </w:r>
    </w:p>
    <w:p>
      <w:pPr>
        <w:pStyle w:val="10"/>
        <w:spacing w:line="360" w:lineRule="auto"/>
        <w:ind w:firstLine="480"/>
        <w:rPr>
          <w:rFonts w:hint="eastAsia" w:ascii="Times New Roman"/>
          <w:kern w:val="2"/>
          <w:sz w:val="24"/>
          <w:szCs w:val="24"/>
        </w:rPr>
      </w:pPr>
      <w:r>
        <w:rPr>
          <w:rFonts w:hint="eastAsia" w:ascii="Times New Roman" w:hAnsi="Times New Roman" w:cs="Times New Roman"/>
          <w:kern w:val="2"/>
          <w:sz w:val="24"/>
          <w:szCs w:val="24"/>
          <w:lang w:val="en-US" w:eastAsia="zh-CN"/>
        </w:rPr>
        <w:t>第二节：规范性引用文件。</w:t>
      </w:r>
      <w:r>
        <w:rPr>
          <w:rFonts w:hint="eastAsia" w:ascii="Times New Roman"/>
          <w:kern w:val="2"/>
          <w:sz w:val="24"/>
          <w:szCs w:val="24"/>
        </w:rPr>
        <w:t>本章引用的标准均为本标准所规定的必备要求。</w:t>
      </w:r>
    </w:p>
    <w:p>
      <w:pPr>
        <w:pStyle w:val="10"/>
        <w:spacing w:line="360" w:lineRule="auto"/>
        <w:ind w:firstLine="480"/>
        <w:rPr>
          <w:rFonts w:ascii="Times New Roman"/>
          <w:kern w:val="2"/>
          <w:sz w:val="24"/>
          <w:szCs w:val="24"/>
        </w:rPr>
      </w:pPr>
      <w:r>
        <w:rPr>
          <w:rFonts w:hint="eastAsia" w:ascii="Times New Roman"/>
          <w:kern w:val="2"/>
          <w:sz w:val="24"/>
          <w:szCs w:val="24"/>
          <w:lang w:eastAsia="zh-CN"/>
        </w:rPr>
        <w:t>第三节：术语和定义。</w:t>
      </w:r>
      <w:r>
        <w:rPr>
          <w:rFonts w:hint="eastAsia" w:ascii="Times New Roman"/>
          <w:kern w:val="2"/>
          <w:sz w:val="24"/>
          <w:szCs w:val="24"/>
        </w:rPr>
        <w:t>对本标准中涉及到的相关标准未明确的名词进行了定义和说明，</w:t>
      </w:r>
      <w:r>
        <w:rPr>
          <w:rFonts w:hint="eastAsia" w:ascii="Times New Roman"/>
          <w:kern w:val="2"/>
          <w:sz w:val="24"/>
          <w:szCs w:val="24"/>
          <w:lang w:val="en-US" w:eastAsia="zh-CN"/>
        </w:rPr>
        <w:t>GB/T6104.1界定</w:t>
      </w:r>
      <w:r>
        <w:rPr>
          <w:rFonts w:hint="eastAsia" w:ascii="Times New Roman"/>
          <w:kern w:val="2"/>
          <w:sz w:val="24"/>
          <w:szCs w:val="24"/>
        </w:rPr>
        <w:t>的</w:t>
      </w:r>
      <w:r>
        <w:rPr>
          <w:rFonts w:hint="eastAsia" w:ascii="Times New Roman"/>
          <w:kern w:val="2"/>
          <w:sz w:val="24"/>
          <w:szCs w:val="24"/>
          <w:lang w:eastAsia="zh-CN"/>
        </w:rPr>
        <w:t>术语</w:t>
      </w:r>
      <w:r>
        <w:rPr>
          <w:rFonts w:hint="eastAsia" w:ascii="Times New Roman"/>
          <w:kern w:val="2"/>
          <w:sz w:val="24"/>
          <w:szCs w:val="24"/>
        </w:rPr>
        <w:t>不再进行定义。</w:t>
      </w:r>
    </w:p>
    <w:p>
      <w:pPr>
        <w:pStyle w:val="10"/>
        <w:spacing w:line="360" w:lineRule="auto"/>
        <w:ind w:firstLine="480"/>
        <w:rPr>
          <w:rFonts w:hint="eastAsia" w:ascii="Times New Roman"/>
          <w:kern w:val="2"/>
          <w:sz w:val="24"/>
          <w:szCs w:val="24"/>
          <w:lang w:val="en-US" w:eastAsia="zh-CN"/>
        </w:rPr>
      </w:pPr>
      <w:r>
        <w:rPr>
          <w:rFonts w:hint="eastAsia" w:ascii="Times New Roman"/>
          <w:kern w:val="2"/>
          <w:sz w:val="24"/>
          <w:szCs w:val="24"/>
          <w:lang w:val="en-US" w:eastAsia="zh-CN"/>
        </w:rPr>
        <w:t>第四节：检验条件。对本标准检验时检验现场需满足的检验条件进行了说明，包括环境条件、技术资料要求、检验仪器。</w:t>
      </w:r>
    </w:p>
    <w:p>
      <w:pPr>
        <w:pStyle w:val="10"/>
        <w:spacing w:line="360" w:lineRule="auto"/>
        <w:ind w:firstLine="480"/>
        <w:rPr>
          <w:rFonts w:hint="eastAsia" w:ascii="Times New Roman"/>
          <w:kern w:val="2"/>
          <w:sz w:val="24"/>
          <w:szCs w:val="24"/>
          <w:lang w:val="en-US" w:eastAsia="zh-CN"/>
        </w:rPr>
      </w:pPr>
      <w:r>
        <w:rPr>
          <w:rFonts w:hint="eastAsia" w:ascii="Times New Roman"/>
          <w:kern w:val="2"/>
          <w:sz w:val="24"/>
          <w:szCs w:val="24"/>
          <w:lang w:val="en-US" w:eastAsia="zh-CN"/>
        </w:rPr>
        <w:t>第五节：检验项目要求及方法。对本标准固定平台搬运车的检验项目、要求及方法进行了规定，包括整车检验、动力系统检验、灯光电气检验、传动系统检验、行驶系统检验、转向系统检验、制动系统检验。</w:t>
      </w:r>
    </w:p>
    <w:p>
      <w:pPr>
        <w:pStyle w:val="10"/>
        <w:spacing w:line="360" w:lineRule="auto"/>
        <w:ind w:firstLine="480"/>
        <w:rPr>
          <w:rFonts w:hint="eastAsia" w:ascii="Times New Roman"/>
          <w:kern w:val="2"/>
          <w:sz w:val="24"/>
          <w:szCs w:val="24"/>
          <w:lang w:val="en-US" w:eastAsia="zh-CN"/>
        </w:rPr>
      </w:pPr>
      <w:r>
        <w:rPr>
          <w:rFonts w:hint="eastAsia" w:ascii="Times New Roman"/>
          <w:kern w:val="2"/>
          <w:sz w:val="24"/>
          <w:szCs w:val="24"/>
          <w:lang w:val="en-US" w:eastAsia="zh-CN"/>
        </w:rPr>
        <w:t>第六节：检验记录与报告。明确了</w:t>
      </w:r>
      <w:r>
        <w:rPr>
          <w:rFonts w:hint="eastAsia" w:ascii="Times New Roman"/>
          <w:kern w:val="2"/>
          <w:sz w:val="24"/>
          <w:szCs w:val="24"/>
          <w:lang w:eastAsia="zh-CN"/>
        </w:rPr>
        <w:t>固定平台搬运车</w:t>
      </w:r>
      <w:r>
        <w:rPr>
          <w:rFonts w:hint="eastAsia" w:ascii="Times New Roman"/>
          <w:kern w:val="2"/>
          <w:sz w:val="24"/>
          <w:szCs w:val="24"/>
          <w:lang w:val="en-US" w:eastAsia="zh-CN"/>
        </w:rPr>
        <w:t>检验记录与检验报告的填写要求。</w:t>
      </w:r>
    </w:p>
    <w:p>
      <w:pPr>
        <w:pStyle w:val="10"/>
        <w:spacing w:line="360" w:lineRule="auto"/>
        <w:ind w:firstLine="480"/>
        <w:rPr>
          <w:rFonts w:hint="eastAsia" w:ascii="Times New Roman"/>
          <w:kern w:val="2"/>
          <w:sz w:val="24"/>
          <w:szCs w:val="24"/>
          <w:lang w:eastAsia="zh-CN"/>
        </w:rPr>
      </w:pPr>
      <w:r>
        <w:rPr>
          <w:rFonts w:hint="eastAsia" w:ascii="Times New Roman"/>
          <w:kern w:val="2"/>
          <w:sz w:val="24"/>
          <w:szCs w:val="24"/>
          <w:lang w:val="en-US" w:eastAsia="zh-CN"/>
        </w:rPr>
        <w:t>第七节：检验结论。明确了</w:t>
      </w:r>
      <w:r>
        <w:rPr>
          <w:rFonts w:hint="eastAsia" w:ascii="Times New Roman"/>
          <w:kern w:val="2"/>
          <w:sz w:val="24"/>
          <w:szCs w:val="24"/>
          <w:lang w:eastAsia="zh-CN"/>
        </w:rPr>
        <w:t>固定平台搬运车检验结论的判定原则。</w:t>
      </w:r>
    </w:p>
    <w:p>
      <w:pPr>
        <w:pStyle w:val="10"/>
        <w:spacing w:line="360" w:lineRule="auto"/>
        <w:ind w:firstLine="480"/>
        <w:rPr>
          <w:rFonts w:hint="eastAsia" w:ascii="Times New Roman"/>
          <w:kern w:val="2"/>
          <w:sz w:val="24"/>
          <w:szCs w:val="24"/>
          <w:lang w:eastAsia="zh-CN"/>
        </w:rPr>
      </w:pPr>
      <w:r>
        <w:rPr>
          <w:rFonts w:hint="eastAsia" w:ascii="Times New Roman"/>
          <w:kern w:val="2"/>
          <w:sz w:val="24"/>
          <w:szCs w:val="24"/>
        </w:rPr>
        <w:t>附录A</w:t>
      </w:r>
      <w:r>
        <w:rPr>
          <w:rFonts w:hint="eastAsia" w:ascii="Times New Roman"/>
          <w:kern w:val="2"/>
          <w:sz w:val="24"/>
          <w:szCs w:val="24"/>
          <w:lang w:eastAsia="zh-CN"/>
        </w:rPr>
        <w:t>给出了固定平台搬运车详细的检验内容、检验方法及判定规则。</w:t>
      </w:r>
    </w:p>
    <w:p>
      <w:pPr>
        <w:pStyle w:val="10"/>
        <w:spacing w:line="360" w:lineRule="auto"/>
        <w:ind w:firstLine="480"/>
        <w:rPr>
          <w:rFonts w:hint="eastAsia" w:ascii="Times New Roman"/>
          <w:kern w:val="2"/>
          <w:sz w:val="24"/>
          <w:szCs w:val="24"/>
          <w:lang w:eastAsia="zh-CN"/>
        </w:rPr>
      </w:pPr>
      <w:r>
        <w:rPr>
          <w:rFonts w:hint="eastAsia" w:ascii="Times New Roman"/>
          <w:kern w:val="2"/>
          <w:sz w:val="24"/>
          <w:szCs w:val="24"/>
          <w:lang w:eastAsia="zh-CN"/>
        </w:rPr>
        <w:t>附录</w:t>
      </w:r>
      <w:r>
        <w:rPr>
          <w:rFonts w:hint="eastAsia" w:ascii="Times New Roman"/>
          <w:kern w:val="2"/>
          <w:sz w:val="24"/>
          <w:szCs w:val="24"/>
          <w:lang w:val="en-US" w:eastAsia="zh-CN"/>
        </w:rPr>
        <w:t>B给出了</w:t>
      </w:r>
      <w:r>
        <w:rPr>
          <w:rFonts w:hint="eastAsia" w:ascii="Times New Roman"/>
          <w:kern w:val="2"/>
          <w:sz w:val="24"/>
          <w:szCs w:val="24"/>
          <w:lang w:eastAsia="zh-CN"/>
        </w:rPr>
        <w:t>固定平台搬运车检验报告的具体格式。</w:t>
      </w:r>
    </w:p>
    <w:p>
      <w:pPr>
        <w:pStyle w:val="10"/>
        <w:spacing w:line="360" w:lineRule="auto"/>
        <w:ind w:firstLine="480"/>
        <w:rPr>
          <w:rFonts w:hint="eastAsia" w:ascii="Times New Roman"/>
          <w:kern w:val="2"/>
          <w:sz w:val="24"/>
          <w:szCs w:val="24"/>
          <w:lang w:val="en-US" w:eastAsia="zh-CN"/>
        </w:rPr>
      </w:pPr>
      <w:r>
        <w:rPr>
          <w:rFonts w:hint="eastAsia" w:ascii="Times New Roman"/>
          <w:kern w:val="2"/>
          <w:sz w:val="24"/>
          <w:szCs w:val="24"/>
          <w:lang w:eastAsia="zh-CN"/>
        </w:rPr>
        <w:t>附录</w:t>
      </w:r>
      <w:r>
        <w:rPr>
          <w:rFonts w:hint="eastAsia" w:ascii="Times New Roman"/>
          <w:kern w:val="2"/>
          <w:sz w:val="24"/>
          <w:szCs w:val="24"/>
          <w:lang w:val="en-US" w:eastAsia="zh-CN"/>
        </w:rPr>
        <w:t>C给出了固定平台搬运车检验备忘录的具体格式。</w:t>
      </w:r>
    </w:p>
    <w:p>
      <w:pPr>
        <w:pStyle w:val="3"/>
        <w:spacing w:before="0" w:after="0" w:line="360" w:lineRule="auto"/>
        <w:ind w:firstLine="562" w:firstLineChars="200"/>
        <w:outlineLvl w:val="0"/>
        <w:rPr>
          <w:rFonts w:hint="eastAsia" w:ascii="Times New Roman" w:hAnsi="Times New Roman" w:cs="Times New Roman"/>
          <w:sz w:val="28"/>
          <w:szCs w:val="28"/>
          <w:lang w:val="en-US" w:eastAsia="zh-CN"/>
        </w:rPr>
      </w:pPr>
      <w:bookmarkStart w:id="19" w:name="_Toc25963"/>
      <w:r>
        <w:rPr>
          <w:rFonts w:hint="eastAsia" w:ascii="Times New Roman" w:hAnsi="Times New Roman" w:cs="Times New Roman"/>
          <w:sz w:val="28"/>
          <w:szCs w:val="28"/>
          <w:lang w:val="en-US" w:eastAsia="zh-CN"/>
        </w:rPr>
        <w:t>2.3标准的确定依据</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本规则的确定依据为《场（厂）内专用机动车辆安全技术监察规程》（TSG N0001-2017）与《电动固定平台搬运车》（JB/T 3811-2013）</w:t>
      </w:r>
      <w:r>
        <w:rPr>
          <w:rFonts w:hint="eastAsia" w:ascii="Times New Roman" w:hAnsi="Times New Roman" w:cs="Times New Roman"/>
          <w:kern w:val="2"/>
          <w:sz w:val="24"/>
          <w:szCs w:val="24"/>
          <w:lang w:val="en-US" w:eastAsia="zh-CN" w:bidi="ar-SA"/>
        </w:rPr>
        <w:t>。</w:t>
      </w:r>
    </w:p>
    <w:p>
      <w:pPr>
        <w:rPr>
          <w:rFonts w:hint="eastAsia" w:ascii="Times New Roman" w:hAnsi="Times New Roman"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 xml:space="preserve">  </w:t>
      </w:r>
      <w:r>
        <w:rPr>
          <w:rStyle w:val="12"/>
          <w:rFonts w:hint="eastAsia" w:ascii="宋体" w:hAnsi="宋体" w:eastAsia="宋体" w:cs="宋体"/>
          <w:sz w:val="28"/>
          <w:szCs w:val="28"/>
          <w:lang w:val="en-US" w:eastAsia="zh-CN"/>
        </w:rPr>
        <w:t xml:space="preserve">  </w:t>
      </w:r>
      <w:bookmarkStart w:id="20" w:name="_Toc24152"/>
      <w:r>
        <w:rPr>
          <w:rStyle w:val="12"/>
          <w:rFonts w:hint="default" w:ascii="Times New Roman" w:hAnsi="Times New Roman" w:eastAsia="宋体" w:cs="Times New Roman"/>
          <w:sz w:val="28"/>
          <w:szCs w:val="28"/>
          <w:lang w:val="en-US" w:eastAsia="zh-CN"/>
        </w:rPr>
        <w:t>2.4</w:t>
      </w:r>
      <w:r>
        <w:rPr>
          <w:rStyle w:val="12"/>
          <w:rFonts w:hint="eastAsia" w:ascii="宋体" w:hAnsi="宋体" w:eastAsia="宋体" w:cs="宋体"/>
          <w:sz w:val="28"/>
          <w:szCs w:val="28"/>
          <w:lang w:val="en-US" w:eastAsia="zh-CN"/>
        </w:rPr>
        <w:t>标准的创新性</w:t>
      </w:r>
      <w:r>
        <w:rPr>
          <w:rStyle w:val="12"/>
          <w:rFonts w:hint="eastAsia"/>
          <w:sz w:val="30"/>
          <w:szCs w:val="30"/>
          <w:lang w:val="en-US" w:eastAsia="zh-CN"/>
        </w:rPr>
        <w:t xml:space="preserve"> </w:t>
      </w:r>
      <w:r>
        <w:rPr>
          <w:rStyle w:val="12"/>
          <w:rFonts w:hint="eastAsia"/>
          <w:lang w:val="en-US" w:eastAsia="zh-CN"/>
        </w:rPr>
        <w:t xml:space="preserve"> </w:t>
      </w:r>
      <w:bookmarkEnd w:id="20"/>
      <w:r>
        <w:rPr>
          <w:rFonts w:hint="eastAsia" w:ascii="Times New Roman" w:hAnsi="Times New Roman" w:cs="Times New Roman"/>
          <w:b/>
          <w:bCs/>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1.固定平台搬运车的检验目前只有行业标准JB/T 3811-2013 《电动固定平台搬运车》</w:t>
      </w:r>
      <w:r>
        <w:rPr>
          <w:rFonts w:hint="eastAsia" w:ascii="Times New Roman" w:hAnsi="Times New Roman" w:cs="Times New Roman"/>
          <w:kern w:val="2"/>
          <w:sz w:val="24"/>
          <w:szCs w:val="24"/>
          <w:lang w:val="en-US" w:eastAsia="zh-CN" w:bidi="ar-SA"/>
        </w:rPr>
        <w:t>和</w:t>
      </w:r>
      <w:r>
        <w:rPr>
          <w:rFonts w:hint="eastAsia" w:ascii="Times New Roman" w:hAnsi="Times New Roman" w:eastAsia="宋体" w:cs="Times New Roman"/>
          <w:kern w:val="2"/>
          <w:sz w:val="24"/>
          <w:szCs w:val="24"/>
          <w:lang w:val="en-US" w:eastAsia="zh-CN" w:bidi="ar-SA"/>
        </w:rPr>
        <w:t>《场（厂）内专用机动车辆安全技术监察规程》（TSG N0001-2017）依据可循，该检验规则的制定填补了我省固定平台搬运车检验无检验规则可循的空白。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2.根据使用单位的检验需求，将固定平台搬运车的检验内容分为七大类，在满足使用单位检验需求的同时又很好把控了检验质量的关键点，使设备的不安全状态风险降到最低。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3.该检验规则的制定为全省检验机构对固定平台搬运车的检验提供了有利、可靠的检验依据；也为使用单位固定平台搬运车的年度自检提供参考依据。</w:t>
      </w: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firstLine="602" w:firstLineChars="200"/>
        <w:textAlignment w:val="auto"/>
        <w:rPr>
          <w:rFonts w:hint="eastAsia" w:ascii="Times New Roman" w:hAnsi="Times New Roman" w:cs="Times New Roman"/>
          <w:sz w:val="30"/>
          <w:szCs w:val="30"/>
          <w:lang w:val="en-US" w:eastAsia="zh-CN"/>
        </w:rPr>
      </w:pPr>
      <w:bookmarkStart w:id="21" w:name="_Toc27027"/>
      <w:r>
        <w:rPr>
          <w:rFonts w:hint="eastAsia" w:ascii="Times New Roman" w:hAnsi="Times New Roman" w:cs="Times New Roman"/>
          <w:sz w:val="30"/>
          <w:szCs w:val="30"/>
          <w:lang w:val="en-US" w:eastAsia="zh-CN"/>
        </w:rPr>
        <w:t>3.实证研究</w:t>
      </w:r>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kern w:val="2"/>
          <w:sz w:val="24"/>
          <w:szCs w:val="24"/>
          <w:lang w:eastAsia="zh-CN"/>
        </w:rPr>
      </w:pPr>
      <w:r>
        <w:rPr>
          <w:rFonts w:hint="eastAsia" w:ascii="Times New Roman" w:hAnsi="Times New Roman" w:cs="Times New Roman"/>
          <w:sz w:val="30"/>
          <w:szCs w:val="30"/>
          <w:lang w:val="en-US" w:eastAsia="zh-CN"/>
        </w:rPr>
        <w:t xml:space="preserve">  </w:t>
      </w:r>
      <w:r>
        <w:rPr>
          <w:rFonts w:hint="eastAsia" w:ascii="Times New Roman" w:hAnsi="Times New Roman" w:eastAsia="宋体" w:cs="Times New Roman"/>
          <w:kern w:val="2"/>
          <w:sz w:val="24"/>
          <w:szCs w:val="24"/>
          <w:lang w:val="en-US" w:eastAsia="zh-CN" w:bidi="ar-SA"/>
        </w:rPr>
        <w:t xml:space="preserve">  本标准的制定前期走访调查了多个固定平台搬运车的使用单位，了解</w:t>
      </w:r>
      <w:r>
        <w:rPr>
          <w:rFonts w:hint="eastAsia" w:ascii="Times New Roman" w:hAnsi="Times New Roman" w:cs="Times New Roman"/>
          <w:kern w:val="2"/>
          <w:sz w:val="24"/>
          <w:szCs w:val="24"/>
          <w:lang w:val="en-US" w:eastAsia="zh-CN" w:bidi="ar-SA"/>
        </w:rPr>
        <w:t>他们在</w:t>
      </w:r>
      <w:r>
        <w:rPr>
          <w:rFonts w:hint="eastAsia" w:ascii="Times New Roman" w:hAnsi="Times New Roman" w:eastAsia="宋体" w:cs="Times New Roman"/>
          <w:kern w:val="2"/>
          <w:sz w:val="24"/>
          <w:szCs w:val="24"/>
          <w:lang w:val="en-US" w:eastAsia="zh-CN" w:bidi="ar-SA"/>
        </w:rPr>
        <w:t>使用</w:t>
      </w:r>
      <w:r>
        <w:rPr>
          <w:rFonts w:hint="eastAsia" w:ascii="Times New Roman" w:hAnsi="Times New Roman" w:cs="Times New Roman"/>
          <w:kern w:val="2"/>
          <w:sz w:val="24"/>
          <w:szCs w:val="24"/>
          <w:lang w:val="en-US" w:eastAsia="zh-CN" w:bidi="ar-SA"/>
        </w:rPr>
        <w:t>过程中的</w:t>
      </w:r>
      <w:r>
        <w:rPr>
          <w:rFonts w:hint="eastAsia" w:ascii="Times New Roman" w:hAnsi="Times New Roman" w:eastAsia="宋体" w:cs="Times New Roman"/>
          <w:kern w:val="2"/>
          <w:sz w:val="24"/>
          <w:szCs w:val="24"/>
          <w:lang w:val="en-US" w:eastAsia="zh-CN" w:bidi="ar-SA"/>
        </w:rPr>
        <w:t>检验需求</w:t>
      </w:r>
      <w:r>
        <w:rPr>
          <w:rFonts w:hint="eastAsia" w:ascii="Times New Roman" w:hAnsi="Times New Roman" w:cs="Times New Roman"/>
          <w:kern w:val="2"/>
          <w:sz w:val="24"/>
          <w:szCs w:val="24"/>
          <w:lang w:val="en-US" w:eastAsia="zh-CN" w:bidi="ar-SA"/>
        </w:rPr>
        <w:t>，特别是设备在使用过程中出现安全隐患较多的地方，要重点进行检验，并多次与使用单位召开沟通会，对标准草案稿的检验项目进行多次修改。</w:t>
      </w:r>
      <w:r>
        <w:rPr>
          <w:rFonts w:hint="eastAsia" w:ascii="Times New Roman" w:hAnsi="Times New Roman" w:eastAsia="宋体" w:cs="Times New Roman"/>
          <w:kern w:val="2"/>
          <w:sz w:val="24"/>
          <w:szCs w:val="24"/>
          <w:lang w:val="en-US" w:eastAsia="zh-CN" w:bidi="ar-SA"/>
        </w:rPr>
        <w:t>另外，</w:t>
      </w:r>
      <w:r>
        <w:rPr>
          <w:rFonts w:hint="eastAsia" w:ascii="Times New Roman" w:hAnsi="Times New Roman" w:cs="Times New Roman"/>
          <w:kern w:val="2"/>
          <w:sz w:val="24"/>
          <w:szCs w:val="24"/>
          <w:lang w:val="en-US" w:eastAsia="zh-CN" w:bidi="ar-SA"/>
        </w:rPr>
        <w:t>与固定平台搬运车的制造厂家进行沟通，研究标准草案稿各个检验项目实施的可行性以及</w:t>
      </w:r>
      <w:r>
        <w:rPr>
          <w:rFonts w:hint="eastAsia" w:ascii="Times New Roman"/>
          <w:kern w:val="2"/>
          <w:sz w:val="24"/>
          <w:szCs w:val="24"/>
        </w:rPr>
        <w:t>可操作性，保证标准在实际应用上的适用性</w:t>
      </w:r>
      <w:r>
        <w:rPr>
          <w:rFonts w:hint="eastAsia" w:ascii="Times New Roman"/>
          <w:kern w:val="2"/>
          <w:sz w:val="24"/>
          <w:szCs w:val="24"/>
          <w:lang w:eastAsia="zh-CN"/>
        </w:rPr>
        <w:t>。</w:t>
      </w:r>
    </w:p>
    <w:p>
      <w:pPr>
        <w:snapToGrid w:val="0"/>
        <w:spacing w:line="360" w:lineRule="auto"/>
        <w:ind w:firstLine="480" w:firstLineChars="200"/>
        <w:rPr>
          <w:rFonts w:hint="eastAsia"/>
          <w:sz w:val="24"/>
          <w:szCs w:val="24"/>
          <w:lang w:eastAsia="zh-CN"/>
        </w:rPr>
      </w:pPr>
      <w:r>
        <w:rPr>
          <w:rFonts w:hint="eastAsia"/>
          <w:sz w:val="24"/>
          <w:szCs w:val="24"/>
        </w:rPr>
        <w:t>本标准涉及的</w:t>
      </w:r>
      <w:r>
        <w:rPr>
          <w:rFonts w:hint="eastAsia"/>
          <w:sz w:val="24"/>
          <w:szCs w:val="24"/>
          <w:lang w:eastAsia="zh-CN"/>
        </w:rPr>
        <w:t>试验方法均</w:t>
      </w:r>
      <w:r>
        <w:rPr>
          <w:rFonts w:hint="eastAsia"/>
          <w:sz w:val="24"/>
          <w:szCs w:val="24"/>
        </w:rPr>
        <w:t>采用当前国内相关标准</w:t>
      </w:r>
      <w:r>
        <w:rPr>
          <w:rFonts w:hint="eastAsia"/>
          <w:sz w:val="24"/>
          <w:szCs w:val="24"/>
          <w:lang w:eastAsia="zh-CN"/>
        </w:rPr>
        <w:t>的试验方法</w:t>
      </w:r>
      <w:r>
        <w:rPr>
          <w:rFonts w:hint="eastAsia"/>
          <w:sz w:val="24"/>
          <w:szCs w:val="24"/>
        </w:rPr>
        <w:t>进行检验，不涉及新型的</w:t>
      </w:r>
      <w:r>
        <w:rPr>
          <w:rFonts w:hint="eastAsia"/>
          <w:sz w:val="24"/>
          <w:szCs w:val="24"/>
          <w:lang w:eastAsia="zh-CN"/>
        </w:rPr>
        <w:t>试</w:t>
      </w:r>
      <w:r>
        <w:rPr>
          <w:rFonts w:hint="eastAsia"/>
          <w:sz w:val="24"/>
          <w:szCs w:val="24"/>
        </w:rPr>
        <w:t>验方法</w:t>
      </w:r>
      <w:r>
        <w:rPr>
          <w:rFonts w:hint="eastAsia"/>
          <w:sz w:val="24"/>
          <w:szCs w:val="24"/>
          <w:lang w:eastAsia="zh-CN"/>
        </w:rPr>
        <w:t>。</w:t>
      </w:r>
    </w:p>
    <w:p>
      <w:pPr>
        <w:snapToGrid w:val="0"/>
        <w:spacing w:line="360" w:lineRule="auto"/>
        <w:ind w:firstLine="480" w:firstLineChars="200"/>
        <w:rPr>
          <w:rFonts w:hint="eastAsia"/>
          <w:sz w:val="24"/>
          <w:szCs w:val="24"/>
          <w:lang w:eastAsia="zh-CN"/>
        </w:rPr>
      </w:pPr>
      <w:r>
        <w:rPr>
          <w:rFonts w:hint="eastAsia"/>
          <w:sz w:val="24"/>
          <w:szCs w:val="24"/>
          <w:lang w:eastAsia="zh-CN"/>
        </w:rPr>
        <w:t>本标准在检验过程中所测量出来的数据不需要进行分析和统计。</w:t>
      </w: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firstLine="602" w:firstLineChars="200"/>
        <w:textAlignment w:val="auto"/>
        <w:rPr>
          <w:rFonts w:hint="eastAsia" w:ascii="Times New Roman" w:hAnsi="Times New Roman" w:cs="Times New Roman"/>
          <w:sz w:val="30"/>
          <w:szCs w:val="30"/>
          <w:lang w:val="en-US" w:eastAsia="zh-CN"/>
        </w:rPr>
      </w:pPr>
      <w:bookmarkStart w:id="22" w:name="_Toc2702"/>
      <w:r>
        <w:rPr>
          <w:rFonts w:hint="eastAsia" w:ascii="Times New Roman" w:hAnsi="Times New Roman" w:cs="Times New Roman"/>
          <w:sz w:val="30"/>
          <w:szCs w:val="30"/>
          <w:lang w:val="en-US" w:eastAsia="zh-CN"/>
        </w:rPr>
        <w:t>4.知识产权说明</w:t>
      </w:r>
      <w:bookmarkEnd w:id="22"/>
    </w:p>
    <w:p>
      <w:pPr>
        <w:snapToGrid w:val="0"/>
        <w:spacing w:line="360" w:lineRule="auto"/>
        <w:ind w:firstLine="480" w:firstLineChars="200"/>
        <w:rPr>
          <w:sz w:val="24"/>
          <w:szCs w:val="24"/>
        </w:rPr>
      </w:pPr>
      <w:r>
        <w:rPr>
          <w:rFonts w:hint="eastAsia"/>
          <w:sz w:val="24"/>
          <w:szCs w:val="24"/>
        </w:rPr>
        <w:t>本标准所引用的规范性标准及其他参考性文献，均在起草标准和标准制定说明书中做出了</w:t>
      </w:r>
      <w:r>
        <w:rPr>
          <w:rFonts w:hint="eastAsia"/>
          <w:sz w:val="24"/>
          <w:szCs w:val="24"/>
          <w:lang w:eastAsia="zh-CN"/>
        </w:rPr>
        <w:t>说明</w:t>
      </w:r>
      <w:r>
        <w:rPr>
          <w:rFonts w:hint="eastAsia"/>
          <w:sz w:val="24"/>
          <w:szCs w:val="24"/>
        </w:rPr>
        <w:t>，不会出现知识产权侵权的行为。</w:t>
      </w: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firstLine="602" w:firstLineChars="200"/>
        <w:textAlignment w:val="auto"/>
        <w:rPr>
          <w:rFonts w:hint="eastAsia" w:ascii="Times New Roman" w:hAnsi="Times New Roman" w:cs="Times New Roman"/>
          <w:sz w:val="30"/>
          <w:szCs w:val="30"/>
          <w:lang w:val="en-US" w:eastAsia="zh-CN"/>
        </w:rPr>
      </w:pPr>
      <w:bookmarkStart w:id="23" w:name="_Toc19793829"/>
      <w:bookmarkStart w:id="24" w:name="_Toc498936377"/>
      <w:bookmarkStart w:id="25" w:name="_Toc12681"/>
      <w:r>
        <w:rPr>
          <w:rFonts w:hint="eastAsia" w:ascii="Times New Roman" w:hAnsi="Times New Roman" w:cs="Times New Roman"/>
          <w:sz w:val="30"/>
          <w:szCs w:val="30"/>
          <w:lang w:val="en-US" w:eastAsia="zh-CN"/>
        </w:rPr>
        <w:t>5.采标情况</w:t>
      </w:r>
      <w:bookmarkEnd w:id="23"/>
      <w:bookmarkEnd w:id="24"/>
      <w:bookmarkEnd w:id="25"/>
    </w:p>
    <w:p>
      <w:pPr>
        <w:snapToGrid w:val="0"/>
        <w:spacing w:line="360" w:lineRule="auto"/>
        <w:ind w:firstLine="480" w:firstLineChars="200"/>
        <w:rPr>
          <w:rFonts w:hint="eastAsia" w:ascii="Times New Roman" w:hAnsi="Times New Roman" w:cs="Times New Roman"/>
          <w:sz w:val="24"/>
          <w:szCs w:val="24"/>
          <w:lang w:val="en-US" w:eastAsia="zh-CN"/>
        </w:rPr>
      </w:pPr>
      <w:bookmarkStart w:id="26" w:name="_Toc19793830"/>
      <w:bookmarkStart w:id="27" w:name="_Toc498936378"/>
      <w:r>
        <w:rPr>
          <w:rFonts w:hint="default" w:ascii="Times New Roman" w:hAnsi="Times New Roman" w:cs="Times New Roman"/>
          <w:sz w:val="24"/>
          <w:szCs w:val="24"/>
          <w:lang w:val="en-US" w:eastAsia="zh-CN"/>
        </w:rPr>
        <w:t>本标准未采用国际标准或国外先进标准</w:t>
      </w:r>
      <w:r>
        <w:rPr>
          <w:rFonts w:hint="eastAsia" w:ascii="Times New Roman" w:hAnsi="Times New Roman" w:cs="Times New Roman"/>
          <w:sz w:val="24"/>
          <w:szCs w:val="24"/>
          <w:lang w:val="en-US" w:eastAsia="zh-CN"/>
        </w:rPr>
        <w:t>，本标准与国家现行特种设备方面的法律、法规、强制性标准无矛盾。</w:t>
      </w: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firstLine="602" w:firstLineChars="200"/>
        <w:textAlignment w:val="auto"/>
        <w:rPr>
          <w:rFonts w:hint="eastAsia" w:ascii="Times New Roman" w:hAnsi="Times New Roman" w:cs="Times New Roman"/>
          <w:sz w:val="30"/>
          <w:szCs w:val="30"/>
          <w:lang w:val="en-US" w:eastAsia="zh-CN"/>
        </w:rPr>
      </w:pPr>
      <w:bookmarkStart w:id="28" w:name="_Toc26881"/>
      <w:r>
        <w:rPr>
          <w:rFonts w:hint="eastAsia" w:ascii="Times New Roman" w:hAnsi="Times New Roman" w:cs="Times New Roman"/>
          <w:sz w:val="30"/>
          <w:szCs w:val="30"/>
          <w:lang w:val="en-US" w:eastAsia="zh-CN"/>
        </w:rPr>
        <w:t>6.重大分歧意见的处理经过和依据</w:t>
      </w:r>
      <w:bookmarkEnd w:id="26"/>
      <w:bookmarkEnd w:id="27"/>
      <w:bookmarkEnd w:id="28"/>
    </w:p>
    <w:p>
      <w:pPr>
        <w:snapToGrid w:val="0"/>
        <w:spacing w:line="360" w:lineRule="auto"/>
        <w:ind w:firstLine="480" w:firstLineChars="200"/>
        <w:rPr>
          <w:rFonts w:hint="default" w:eastAsia="宋体"/>
          <w:sz w:val="24"/>
          <w:szCs w:val="24"/>
          <w:lang w:val="en-US" w:eastAsia="zh-CN"/>
        </w:rPr>
      </w:pPr>
      <w:r>
        <w:rPr>
          <w:rFonts w:hint="eastAsia" w:ascii="Times New Roman" w:hAnsi="Times New Roman" w:cs="Times New Roman"/>
          <w:sz w:val="24"/>
          <w:szCs w:val="24"/>
          <w:lang w:val="en-US" w:eastAsia="zh-CN"/>
        </w:rPr>
        <w:t>标准制定过程中的重大分歧主要出现在固定平台搬运车的检验是否只考虑蓄电池固定平台搬运车的检验，因为新的行业标准JB/T 3811-2013《电动固定平台搬运车》已经取代了JB/T 3811.1-1999 《固定平台搬运车</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基本参数》和JB/T3811.2-1999《固定平台搬运车</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技术条件》，目前市场上绝大部分固定平台搬运车其动力源为蓄电池。在经过专家组的建议以及起草小组的商讨后，为了体现标准的普遍适用性，将内燃固定平台搬运车的检验方法融入其中，形成《固定平台搬运车检验规则》征求意见稿。</w:t>
      </w: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firstLine="602" w:firstLineChars="200"/>
        <w:textAlignment w:val="auto"/>
        <w:rPr>
          <w:rFonts w:hint="eastAsia" w:ascii="Times New Roman" w:hAnsi="Times New Roman" w:cs="Times New Roman"/>
          <w:sz w:val="30"/>
          <w:szCs w:val="30"/>
          <w:lang w:val="en-US" w:eastAsia="zh-CN"/>
        </w:rPr>
      </w:pPr>
      <w:bookmarkStart w:id="29" w:name="_Toc498936379"/>
      <w:bookmarkStart w:id="30" w:name="_Toc7886"/>
      <w:bookmarkStart w:id="31" w:name="_Toc19793831"/>
      <w:r>
        <w:rPr>
          <w:rFonts w:hint="eastAsia" w:ascii="Times New Roman" w:hAnsi="Times New Roman" w:cs="Times New Roman"/>
          <w:sz w:val="30"/>
          <w:szCs w:val="30"/>
          <w:lang w:val="en-US" w:eastAsia="zh-CN"/>
        </w:rPr>
        <w:t>7.标准性质的建议说明</w:t>
      </w:r>
      <w:bookmarkEnd w:id="29"/>
      <w:bookmarkEnd w:id="30"/>
      <w:bookmarkEnd w:id="31"/>
    </w:p>
    <w:p>
      <w:pPr>
        <w:snapToGrid w:val="0"/>
        <w:spacing w:line="360" w:lineRule="auto"/>
        <w:ind w:firstLine="480" w:firstLineChars="200"/>
        <w:rPr>
          <w:sz w:val="24"/>
          <w:szCs w:val="24"/>
        </w:rPr>
      </w:pPr>
      <w:r>
        <w:rPr>
          <w:rFonts w:hint="eastAsia"/>
          <w:sz w:val="24"/>
          <w:szCs w:val="24"/>
        </w:rPr>
        <w:t>本标准主要适用于</w:t>
      </w:r>
      <w:r>
        <w:rPr>
          <w:rFonts w:hint="eastAsia"/>
          <w:sz w:val="24"/>
          <w:szCs w:val="24"/>
          <w:lang w:eastAsia="zh-CN"/>
        </w:rPr>
        <w:t>固定平台搬运车的</w:t>
      </w:r>
      <w:r>
        <w:rPr>
          <w:rFonts w:hint="eastAsia"/>
          <w:sz w:val="24"/>
          <w:szCs w:val="24"/>
        </w:rPr>
        <w:t>检验，具体</w:t>
      </w:r>
      <w:r>
        <w:rPr>
          <w:rFonts w:hint="eastAsia"/>
          <w:sz w:val="24"/>
          <w:szCs w:val="24"/>
          <w:lang w:eastAsia="zh-CN"/>
        </w:rPr>
        <w:t>使用单位对固定平台搬运车的</w:t>
      </w:r>
      <w:r>
        <w:rPr>
          <w:rFonts w:hint="eastAsia"/>
          <w:sz w:val="24"/>
          <w:szCs w:val="24"/>
        </w:rPr>
        <w:t>管理水平存在差异，建议作为推荐性标准。用于指导检验单位规范</w:t>
      </w:r>
      <w:r>
        <w:rPr>
          <w:rFonts w:hint="eastAsia"/>
          <w:sz w:val="24"/>
          <w:szCs w:val="24"/>
          <w:lang w:eastAsia="zh-CN"/>
        </w:rPr>
        <w:t>固定平台搬运车的检验以及供使用单位对</w:t>
      </w:r>
      <w:r>
        <w:rPr>
          <w:rFonts w:hint="eastAsia" w:ascii="Times New Roman" w:hAnsi="Times New Roman" w:eastAsia="宋体" w:cs="Times New Roman"/>
          <w:kern w:val="2"/>
          <w:sz w:val="24"/>
          <w:szCs w:val="24"/>
          <w:lang w:val="en-US" w:eastAsia="zh-CN" w:bidi="ar-SA"/>
        </w:rPr>
        <w:t>固定平台搬运车</w:t>
      </w:r>
      <w:r>
        <w:rPr>
          <w:rFonts w:hint="eastAsia" w:ascii="Times New Roman" w:hAnsi="Times New Roman" w:cs="Times New Roman"/>
          <w:kern w:val="2"/>
          <w:sz w:val="24"/>
          <w:szCs w:val="24"/>
          <w:lang w:val="en-US" w:eastAsia="zh-CN" w:bidi="ar-SA"/>
        </w:rPr>
        <w:t>进行</w:t>
      </w:r>
      <w:r>
        <w:rPr>
          <w:rFonts w:hint="eastAsia" w:ascii="Times New Roman" w:hAnsi="Times New Roman" w:eastAsia="宋体" w:cs="Times New Roman"/>
          <w:kern w:val="2"/>
          <w:sz w:val="24"/>
          <w:szCs w:val="24"/>
          <w:lang w:val="en-US" w:eastAsia="zh-CN" w:bidi="ar-SA"/>
        </w:rPr>
        <w:t>年度自检</w:t>
      </w:r>
      <w:r>
        <w:rPr>
          <w:rFonts w:hint="eastAsia"/>
          <w:sz w:val="24"/>
          <w:szCs w:val="24"/>
        </w:rPr>
        <w:t>，减少事故的发生</w:t>
      </w:r>
      <w:r>
        <w:rPr>
          <w:rFonts w:hint="eastAsia"/>
          <w:sz w:val="24"/>
          <w:szCs w:val="24"/>
          <w:lang w:eastAsia="zh-CN"/>
        </w:rPr>
        <w:t>的同时</w:t>
      </w:r>
      <w:r>
        <w:rPr>
          <w:rFonts w:hint="eastAsia"/>
          <w:sz w:val="24"/>
          <w:szCs w:val="24"/>
        </w:rPr>
        <w:t>指导使用单位做好检验配合工作。</w:t>
      </w:r>
    </w:p>
    <w:p>
      <w:pPr>
        <w:keepNext w:val="0"/>
        <w:keepLines w:val="0"/>
        <w:pageBreakBefore w:val="0"/>
        <w:widowControl w:val="0"/>
        <w:tabs>
          <w:tab w:val="left" w:pos="1048"/>
        </w:tabs>
        <w:kinsoku/>
        <w:wordWrap/>
        <w:overflowPunct/>
        <w:topLinePunct w:val="0"/>
        <w:autoSpaceDE/>
        <w:autoSpaceDN/>
        <w:bidi w:val="0"/>
        <w:adjustRightInd/>
        <w:snapToGrid/>
        <w:spacing w:line="360" w:lineRule="auto"/>
        <w:textAlignment w:val="auto"/>
        <w:rPr>
          <w:rFonts w:hint="default" w:ascii="Times New Roman"/>
          <w:kern w:val="2"/>
          <w:sz w:val="24"/>
          <w:szCs w:val="24"/>
          <w:lang w:val="en-US" w:eastAsia="zh-CN"/>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BU+a0AAAAAMBAAAPAAAAAAAAAAEAIAAAACIAAABkcnMvZG93bnJl&#10;di54bWxQSwECFAAUAAAACACHTuJA3L/mrcwBAACXAwAADgAAAAAAAAABACAAAAAf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27336"/>
    <w:multiLevelType w:val="singleLevel"/>
    <w:tmpl w:val="95D27336"/>
    <w:lvl w:ilvl="0" w:tentative="0">
      <w:start w:val="1"/>
      <w:numFmt w:val="decimal"/>
      <w:lvlText w:val="%1."/>
      <w:lvlJc w:val="left"/>
      <w:pPr>
        <w:tabs>
          <w:tab w:val="left" w:pos="312"/>
        </w:tabs>
      </w:pPr>
    </w:lvl>
  </w:abstractNum>
  <w:abstractNum w:abstractNumId="1">
    <w:nsid w:val="F67CFCFF"/>
    <w:multiLevelType w:val="singleLevel"/>
    <w:tmpl w:val="F67CFCF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1CB1"/>
    <w:rsid w:val="02174D7A"/>
    <w:rsid w:val="02B14C8A"/>
    <w:rsid w:val="0432285F"/>
    <w:rsid w:val="05D538BB"/>
    <w:rsid w:val="069B65BF"/>
    <w:rsid w:val="0A0B05C1"/>
    <w:rsid w:val="0A62050C"/>
    <w:rsid w:val="0AB84C6D"/>
    <w:rsid w:val="0F735006"/>
    <w:rsid w:val="13E10A78"/>
    <w:rsid w:val="1C047FC0"/>
    <w:rsid w:val="2122160E"/>
    <w:rsid w:val="2AE9289F"/>
    <w:rsid w:val="2D9E5146"/>
    <w:rsid w:val="2FB541A2"/>
    <w:rsid w:val="31DF3EEF"/>
    <w:rsid w:val="33A908F2"/>
    <w:rsid w:val="35F61CC3"/>
    <w:rsid w:val="374E1791"/>
    <w:rsid w:val="3A0930D3"/>
    <w:rsid w:val="3B237FE1"/>
    <w:rsid w:val="3DD14157"/>
    <w:rsid w:val="3E4363C1"/>
    <w:rsid w:val="40BA4DE2"/>
    <w:rsid w:val="42986D52"/>
    <w:rsid w:val="49E34284"/>
    <w:rsid w:val="4D824C21"/>
    <w:rsid w:val="528C6CB2"/>
    <w:rsid w:val="59427B9F"/>
    <w:rsid w:val="62635986"/>
    <w:rsid w:val="630710E3"/>
    <w:rsid w:val="657856B0"/>
    <w:rsid w:val="685833B3"/>
    <w:rsid w:val="6CE1197E"/>
    <w:rsid w:val="6E0D634A"/>
    <w:rsid w:val="6EB470FE"/>
    <w:rsid w:val="6FE7624D"/>
    <w:rsid w:val="712C4EDA"/>
    <w:rsid w:val="764A794A"/>
    <w:rsid w:val="79532B23"/>
    <w:rsid w:val="79D05DD5"/>
    <w:rsid w:val="7AB94BB1"/>
    <w:rsid w:val="7BB10EAD"/>
    <w:rsid w:val="7C2772AD"/>
    <w:rsid w:val="7C2C4EFC"/>
    <w:rsid w:val="7CDE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character" w:styleId="9">
    <w:name w:val="page number"/>
    <w:basedOn w:val="8"/>
    <w:qFormat/>
    <w:uiPriority w:val="0"/>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character" w:customStyle="1" w:styleId="12">
    <w:name w:val="标题 2 Char"/>
    <w:link w:val="3"/>
    <w:qFormat/>
    <w:uiPriority w:val="0"/>
    <w:rPr>
      <w:rFonts w:ascii="Cambria" w:hAnsi="Cambria"/>
      <w:b/>
      <w:bCs/>
      <w:sz w:val="32"/>
      <w:szCs w:val="32"/>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2021-07-10T01:54:00Z</dcterms:created>
  <dc:creator>Administrator</dc:creator>
  <cp:lastModifiedBy>子钢小刀</cp:lastModifiedBy>
  <dcterms:modified xsi:type="dcterms:W3CDTF">2021-07-13T01:53:17Z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AA1D1AF76D0B488A811DB188E4AC531C</vt:lpwstr>
  </property>
</Properties>
</file>